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8FFFC">
      <w:pPr>
        <w:widowControl/>
        <w:ind w:firstLine="0" w:firstLineChars="0"/>
        <w:jc w:val="left"/>
        <w:rPr>
          <w:rFonts w:ascii="宋体" w:hAnsi="宋体" w:cs="Times New Roman"/>
          <w:b/>
          <w:sz w:val="48"/>
          <w:szCs w:val="48"/>
        </w:rPr>
      </w:pPr>
      <w:bookmarkStart w:id="0" w:name="_top"/>
      <w:bookmarkEnd w:id="0"/>
    </w:p>
    <w:p w14:paraId="30ABE6C0">
      <w:pPr>
        <w:widowControl/>
        <w:ind w:firstLine="0" w:firstLineChars="0"/>
        <w:jc w:val="center"/>
        <w:rPr>
          <w:rFonts w:ascii="黑体" w:hAnsi="黑体" w:eastAsia="黑体" w:cs="Times New Roman"/>
          <w:b/>
          <w:sz w:val="48"/>
          <w:szCs w:val="48"/>
        </w:rPr>
      </w:pPr>
    </w:p>
    <w:p w14:paraId="70AB0F2B">
      <w:pPr>
        <w:widowControl/>
        <w:ind w:firstLine="0" w:firstLineChars="0"/>
        <w:jc w:val="center"/>
        <w:rPr>
          <w:rFonts w:ascii="黑体" w:hAnsi="黑体" w:eastAsia="黑体" w:cs="Times New Roman"/>
          <w:b/>
          <w:sz w:val="48"/>
          <w:szCs w:val="48"/>
        </w:rPr>
      </w:pPr>
    </w:p>
    <w:p w14:paraId="108327DE">
      <w:pPr>
        <w:widowControl/>
        <w:ind w:firstLine="0" w:firstLineChars="0"/>
        <w:jc w:val="center"/>
        <w:rPr>
          <w:rFonts w:ascii="黑体" w:hAnsi="黑体" w:eastAsia="黑体" w:cs="Times New Roman"/>
          <w:b/>
          <w:sz w:val="56"/>
          <w:szCs w:val="56"/>
          <w:u w:val="single"/>
        </w:rPr>
      </w:pPr>
      <w:r>
        <w:rPr>
          <w:rFonts w:hint="eastAsia" w:ascii="黑体" w:hAnsi="黑体" w:eastAsia="黑体" w:cs="Times New Roman"/>
          <w:b/>
          <w:sz w:val="56"/>
          <w:szCs w:val="56"/>
          <w:u w:val="single"/>
        </w:rPr>
        <w:t>广州空港经济区拆迁安置区（花东安置区）教育配套设施建设项目</w:t>
      </w:r>
    </w:p>
    <w:p w14:paraId="2F5BCE3E">
      <w:pPr>
        <w:widowControl/>
        <w:ind w:firstLine="0" w:firstLineChars="0"/>
        <w:jc w:val="center"/>
        <w:rPr>
          <w:rFonts w:ascii="宋体" w:hAnsi="宋体" w:cs="Times New Roman"/>
          <w:b/>
          <w:sz w:val="48"/>
          <w:szCs w:val="48"/>
        </w:rPr>
      </w:pPr>
      <w:r>
        <w:rPr>
          <w:rFonts w:hint="eastAsia" w:ascii="宋体" w:hAnsi="宋体" w:cs="Times New Roman"/>
          <w:b/>
          <w:sz w:val="72"/>
          <w:szCs w:val="72"/>
          <w:lang w:val="en-US" w:eastAsia="zh-CN"/>
        </w:rPr>
        <w:t>施工图</w:t>
      </w:r>
    </w:p>
    <w:p w14:paraId="381AACB4">
      <w:pPr>
        <w:widowControl/>
        <w:ind w:firstLine="0" w:firstLineChars="0"/>
        <w:jc w:val="center"/>
        <w:rPr>
          <w:rFonts w:ascii="宋体" w:hAnsi="宋体" w:cs="Times New Roman"/>
          <w:b/>
          <w:sz w:val="48"/>
          <w:szCs w:val="48"/>
        </w:rPr>
      </w:pPr>
    </w:p>
    <w:p w14:paraId="284CB640">
      <w:pPr>
        <w:widowControl/>
        <w:ind w:firstLine="0" w:firstLineChars="0"/>
        <w:jc w:val="center"/>
        <w:rPr>
          <w:rFonts w:ascii="宋体" w:hAnsi="宋体" w:cs="Times New Roman"/>
          <w:b/>
          <w:sz w:val="48"/>
          <w:szCs w:val="48"/>
        </w:rPr>
      </w:pPr>
      <w:r>
        <w:rPr>
          <w:rFonts w:hint="eastAsia" w:ascii="宋体" w:hAnsi="宋体" w:cs="Times New Roman"/>
          <w:b/>
          <w:sz w:val="48"/>
          <w:szCs w:val="48"/>
        </w:rPr>
        <w:t>工程编号:202308079A</w:t>
      </w:r>
    </w:p>
    <w:p w14:paraId="4FD17F8D">
      <w:pPr>
        <w:widowControl/>
        <w:ind w:firstLine="0" w:firstLineChars="0"/>
        <w:jc w:val="center"/>
        <w:rPr>
          <w:rFonts w:ascii="宋体" w:hAnsi="宋体" w:cs="Times New Roman"/>
          <w:b/>
          <w:sz w:val="48"/>
          <w:szCs w:val="48"/>
        </w:rPr>
      </w:pPr>
      <w:r>
        <w:rPr>
          <w:rFonts w:hint="eastAsia" w:ascii="宋体" w:hAnsi="宋体" w:cs="Times New Roman"/>
          <w:b/>
          <w:sz w:val="48"/>
          <w:szCs w:val="48"/>
        </w:rPr>
        <w:t>第</w:t>
      </w:r>
      <w:r>
        <w:rPr>
          <w:rFonts w:hint="eastAsia" w:ascii="宋体" w:hAnsi="宋体" w:cs="Times New Roman"/>
          <w:b/>
          <w:sz w:val="48"/>
          <w:szCs w:val="48"/>
          <w:lang w:val="en-US" w:eastAsia="zh-CN"/>
        </w:rPr>
        <w:t>八</w:t>
      </w:r>
      <w:r>
        <w:rPr>
          <w:rFonts w:hint="eastAsia" w:ascii="宋体" w:hAnsi="宋体" w:cs="Times New Roman"/>
          <w:b/>
          <w:sz w:val="48"/>
          <w:szCs w:val="48"/>
        </w:rPr>
        <w:t>册:临时道路</w:t>
      </w:r>
    </w:p>
    <w:p w14:paraId="2D1BAAFB">
      <w:pPr>
        <w:widowControl/>
        <w:ind w:firstLine="0" w:firstLineChars="0"/>
        <w:jc w:val="center"/>
        <w:rPr>
          <w:rFonts w:ascii="宋体" w:hAnsi="宋体" w:cs="Times New Roman"/>
          <w:b/>
          <w:sz w:val="48"/>
          <w:szCs w:val="48"/>
        </w:rPr>
      </w:pPr>
      <w:r>
        <w:rPr>
          <w:rFonts w:hint="eastAsia" w:ascii="宋体" w:hAnsi="宋体" w:cs="Times New Roman"/>
          <w:b/>
          <w:sz w:val="48"/>
          <w:szCs w:val="48"/>
        </w:rPr>
        <w:t>共</w:t>
      </w:r>
      <w:r>
        <w:rPr>
          <w:rFonts w:hint="eastAsia" w:ascii="宋体" w:hAnsi="宋体" w:cs="Times New Roman"/>
          <w:b/>
          <w:sz w:val="48"/>
          <w:szCs w:val="48"/>
          <w:lang w:val="en-US" w:eastAsia="zh-CN"/>
        </w:rPr>
        <w:t>八</w:t>
      </w:r>
      <w:r>
        <w:rPr>
          <w:rFonts w:hint="eastAsia" w:ascii="宋体" w:hAnsi="宋体" w:cs="Times New Roman"/>
          <w:b/>
          <w:sz w:val="48"/>
          <w:szCs w:val="48"/>
        </w:rPr>
        <w:t>册</w:t>
      </w:r>
    </w:p>
    <w:p w14:paraId="02DB14C9">
      <w:pPr>
        <w:widowControl/>
        <w:ind w:firstLine="0" w:firstLineChars="0"/>
        <w:jc w:val="center"/>
        <w:rPr>
          <w:rFonts w:ascii="宋体" w:hAnsi="宋体" w:cs="Times New Roman"/>
          <w:b/>
          <w:sz w:val="48"/>
          <w:szCs w:val="48"/>
        </w:rPr>
      </w:pPr>
    </w:p>
    <w:p w14:paraId="2AE90E36">
      <w:pPr>
        <w:widowControl/>
        <w:ind w:firstLine="0" w:firstLineChars="0"/>
        <w:jc w:val="center"/>
        <w:rPr>
          <w:rFonts w:ascii="宋体" w:hAnsi="宋体" w:cs="Times New Roman"/>
          <w:b/>
          <w:sz w:val="48"/>
          <w:szCs w:val="48"/>
        </w:rPr>
      </w:pPr>
    </w:p>
    <w:p w14:paraId="382D1B1E">
      <w:pPr>
        <w:widowControl/>
        <w:ind w:firstLine="0" w:firstLineChars="0"/>
        <w:jc w:val="left"/>
        <w:rPr>
          <w:rFonts w:ascii="宋体" w:hAnsi="宋体" w:cs="Times New Roman"/>
          <w:b/>
          <w:sz w:val="48"/>
          <w:szCs w:val="48"/>
        </w:rPr>
      </w:pPr>
    </w:p>
    <w:p w14:paraId="17C26A15">
      <w:pPr>
        <w:widowControl/>
        <w:ind w:firstLine="0" w:firstLineChars="0"/>
        <w:jc w:val="center"/>
        <w:rPr>
          <w:rFonts w:ascii="宋体" w:hAnsi="宋体" w:cs="Times New Roman"/>
          <w:b/>
          <w:sz w:val="48"/>
          <w:szCs w:val="48"/>
        </w:rPr>
      </w:pPr>
      <w:r>
        <w:drawing>
          <wp:inline distT="0" distB="0" distL="114300" distR="114300">
            <wp:extent cx="5400040" cy="1143000"/>
            <wp:effectExtent l="0" t="0" r="10160"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p>
    <w:p w14:paraId="39E31B74">
      <w:pPr>
        <w:widowControl/>
        <w:ind w:firstLine="0" w:firstLineChars="0"/>
        <w:jc w:val="center"/>
        <w:rPr>
          <w:rFonts w:ascii="宋体" w:hAnsi="宋体" w:cs="Times New Roman"/>
          <w:b/>
          <w:sz w:val="32"/>
          <w:szCs w:val="32"/>
        </w:rPr>
      </w:pPr>
    </w:p>
    <w:p w14:paraId="519E7C31">
      <w:pPr>
        <w:widowControl/>
        <w:ind w:firstLine="0" w:firstLineChars="0"/>
        <w:jc w:val="center"/>
        <w:rPr>
          <w:rFonts w:hint="eastAsia" w:ascii="宋体" w:hAnsi="宋体" w:eastAsia="宋体" w:cs="Times New Roman"/>
          <w:b/>
          <w:sz w:val="32"/>
          <w:szCs w:val="32"/>
          <w:lang w:val="en-US" w:eastAsia="zh-CN"/>
        </w:rPr>
      </w:pPr>
      <w:r>
        <w:rPr>
          <w:rFonts w:hint="eastAsia" w:ascii="宋体" w:hAnsi="宋体" w:cs="Times New Roman"/>
          <w:b/>
          <w:sz w:val="32"/>
          <w:szCs w:val="32"/>
          <w:lang w:eastAsia="zh-CN"/>
        </w:rPr>
        <w:t>2025-03</w:t>
      </w:r>
    </w:p>
    <w:p w14:paraId="04B962AE">
      <w:pPr>
        <w:widowControl/>
        <w:ind w:firstLine="0" w:firstLineChars="0"/>
        <w:jc w:val="left"/>
        <w:rPr>
          <w:rFonts w:ascii="宋体" w:hAnsi="宋体" w:cs="Times New Roman"/>
          <w:b/>
          <w:sz w:val="48"/>
          <w:szCs w:val="48"/>
        </w:rPr>
      </w:pPr>
      <w:r>
        <w:rPr>
          <w:rFonts w:ascii="黑体" w:hAnsi="Calibri" w:eastAsia="黑体" w:cs="Times New Roman"/>
          <w:b/>
          <w:sz w:val="48"/>
          <w:szCs w:val="48"/>
        </w:rPr>
        <w:br w:type="page"/>
      </w:r>
    </w:p>
    <w:p w14:paraId="06B5CEFF">
      <w:pPr>
        <w:widowControl/>
        <w:ind w:firstLine="0" w:firstLineChars="0"/>
        <w:jc w:val="center"/>
        <w:rPr>
          <w:rFonts w:ascii="黑体" w:hAnsi="黑体" w:eastAsia="黑体" w:cs="Times New Roman"/>
          <w:b/>
          <w:sz w:val="48"/>
          <w:szCs w:val="48"/>
        </w:rPr>
      </w:pPr>
    </w:p>
    <w:p w14:paraId="678E124B">
      <w:pPr>
        <w:widowControl/>
        <w:ind w:firstLine="0" w:firstLineChars="0"/>
        <w:jc w:val="center"/>
        <w:rPr>
          <w:rFonts w:ascii="黑体" w:hAnsi="黑体" w:eastAsia="黑体" w:cs="Times New Roman"/>
          <w:b/>
          <w:sz w:val="48"/>
          <w:szCs w:val="48"/>
        </w:rPr>
      </w:pPr>
    </w:p>
    <w:p w14:paraId="497CE925">
      <w:pPr>
        <w:widowControl/>
        <w:ind w:firstLine="0" w:firstLineChars="0"/>
        <w:jc w:val="center"/>
        <w:rPr>
          <w:rFonts w:ascii="黑体" w:hAnsi="黑体" w:eastAsia="黑体" w:cs="Times New Roman"/>
          <w:b/>
          <w:sz w:val="56"/>
          <w:szCs w:val="56"/>
          <w:u w:val="single"/>
        </w:rPr>
      </w:pPr>
      <w:r>
        <w:rPr>
          <w:rFonts w:hint="eastAsia" w:ascii="黑体" w:hAnsi="黑体" w:eastAsia="黑体" w:cs="Times New Roman"/>
          <w:b/>
          <w:sz w:val="56"/>
          <w:szCs w:val="56"/>
          <w:u w:val="single"/>
        </w:rPr>
        <w:t>广州空港经济区拆迁安置区（花东安置区）教育配套设施建设项目</w:t>
      </w:r>
    </w:p>
    <w:p w14:paraId="4E17970E">
      <w:pPr>
        <w:widowControl/>
        <w:ind w:firstLine="0" w:firstLineChars="0"/>
        <w:jc w:val="center"/>
        <w:rPr>
          <w:rFonts w:ascii="宋体" w:hAnsi="宋体" w:cs="Times New Roman"/>
          <w:b/>
          <w:sz w:val="48"/>
          <w:szCs w:val="48"/>
        </w:rPr>
      </w:pPr>
      <w:r>
        <w:rPr>
          <w:rFonts w:hint="eastAsia" w:ascii="宋体" w:hAnsi="宋体" w:cs="Times New Roman"/>
          <w:b/>
          <w:sz w:val="72"/>
          <w:szCs w:val="72"/>
          <w:lang w:val="en-US" w:eastAsia="zh-CN"/>
        </w:rPr>
        <w:t>施工图</w:t>
      </w:r>
    </w:p>
    <w:p w14:paraId="2305A444">
      <w:pPr>
        <w:widowControl/>
        <w:ind w:firstLine="0" w:firstLineChars="0"/>
        <w:jc w:val="center"/>
        <w:rPr>
          <w:rFonts w:ascii="宋体" w:hAnsi="宋体" w:cs="Times New Roman"/>
          <w:b/>
          <w:sz w:val="48"/>
          <w:szCs w:val="48"/>
        </w:rPr>
      </w:pPr>
    </w:p>
    <w:p w14:paraId="401D6A12">
      <w:pPr>
        <w:widowControl/>
        <w:ind w:firstLine="0" w:firstLineChars="0"/>
        <w:jc w:val="center"/>
        <w:rPr>
          <w:rFonts w:ascii="宋体" w:hAnsi="宋体" w:cs="Times New Roman"/>
          <w:b/>
          <w:sz w:val="48"/>
          <w:szCs w:val="48"/>
        </w:rPr>
      </w:pPr>
    </w:p>
    <w:p w14:paraId="22A8C3B9">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 xml:space="preserve">审 </w:t>
      </w:r>
      <w:r>
        <w:rPr>
          <w:rFonts w:ascii="宋体" w:hAnsi="宋体" w:cs="Times New Roman"/>
          <w:bCs/>
          <w:sz w:val="36"/>
          <w:szCs w:val="36"/>
        </w:rPr>
        <w:t xml:space="preserve">     </w:t>
      </w:r>
      <w:r>
        <w:rPr>
          <w:rFonts w:hint="eastAsia" w:ascii="宋体" w:hAnsi="宋体" w:cs="Times New Roman"/>
          <w:bCs/>
          <w:sz w:val="36"/>
          <w:szCs w:val="36"/>
        </w:rPr>
        <w:t>定：吴子儒</w:t>
      </w:r>
      <w:r>
        <w:rPr>
          <w:rFonts w:ascii="宋体" w:hAnsi="宋体" w:cs="Times New Roman"/>
          <w:bCs/>
          <w:sz w:val="36"/>
          <w:szCs w:val="36"/>
        </w:rPr>
        <w:t xml:space="preserve">      </w:t>
      </w:r>
    </w:p>
    <w:p w14:paraId="02588982">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 xml:space="preserve">审 </w:t>
      </w:r>
      <w:r>
        <w:rPr>
          <w:rFonts w:ascii="宋体" w:hAnsi="宋体" w:cs="Times New Roman"/>
          <w:bCs/>
          <w:sz w:val="36"/>
          <w:szCs w:val="36"/>
        </w:rPr>
        <w:t xml:space="preserve">     </w:t>
      </w:r>
      <w:r>
        <w:rPr>
          <w:rFonts w:hint="eastAsia" w:ascii="宋体" w:hAnsi="宋体" w:cs="Times New Roman"/>
          <w:bCs/>
          <w:sz w:val="36"/>
          <w:szCs w:val="36"/>
        </w:rPr>
        <w:t xml:space="preserve">核：李建军 </w:t>
      </w:r>
      <w:r>
        <w:rPr>
          <w:rFonts w:ascii="宋体" w:hAnsi="宋体" w:cs="Times New Roman"/>
          <w:bCs/>
          <w:sz w:val="36"/>
          <w:szCs w:val="36"/>
        </w:rPr>
        <w:t xml:space="preserve">            </w:t>
      </w:r>
    </w:p>
    <w:p w14:paraId="6A02B303">
      <w:pPr>
        <w:widowControl/>
        <w:spacing w:line="1000" w:lineRule="exact"/>
        <w:ind w:firstLine="7560" w:firstLineChars="2100"/>
        <w:rPr>
          <w:rFonts w:ascii="宋体" w:hAnsi="宋体" w:cs="Times New Roman"/>
          <w:bCs/>
          <w:sz w:val="36"/>
          <w:szCs w:val="36"/>
        </w:rPr>
      </w:pPr>
      <w:r>
        <w:rPr>
          <w:rFonts w:hint="eastAsia" w:ascii="宋体" w:hAnsi="宋体" w:cs="Times New Roman"/>
          <w:bCs/>
          <w:sz w:val="36"/>
          <w:szCs w:val="36"/>
        </w:rPr>
        <w:t>项目总负责：陈</w:t>
      </w:r>
      <w:r>
        <w:rPr>
          <w:rFonts w:hint="eastAsia" w:ascii="宋体" w:hAnsi="宋体" w:cs="Times New Roman"/>
          <w:bCs/>
          <w:sz w:val="36"/>
          <w:szCs w:val="36"/>
          <w:lang w:val="en-US" w:eastAsia="zh-CN"/>
        </w:rPr>
        <w:t xml:space="preserve">  </w:t>
      </w:r>
      <w:r>
        <w:rPr>
          <w:rFonts w:hint="eastAsia" w:ascii="宋体" w:hAnsi="宋体" w:cs="Times New Roman"/>
          <w:bCs/>
          <w:sz w:val="36"/>
          <w:szCs w:val="36"/>
        </w:rPr>
        <w:t xml:space="preserve">军 </w:t>
      </w:r>
      <w:r>
        <w:rPr>
          <w:rFonts w:ascii="宋体" w:hAnsi="宋体" w:cs="Times New Roman"/>
          <w:bCs/>
          <w:sz w:val="36"/>
          <w:szCs w:val="36"/>
        </w:rPr>
        <w:t xml:space="preserve">         </w:t>
      </w:r>
    </w:p>
    <w:p w14:paraId="7A4B3AF1">
      <w:pPr>
        <w:widowControl/>
        <w:ind w:firstLine="0" w:firstLineChars="0"/>
        <w:jc w:val="left"/>
        <w:rPr>
          <w:rFonts w:ascii="宋体" w:hAnsi="宋体" w:cs="Times New Roman"/>
          <w:b/>
          <w:sz w:val="48"/>
          <w:szCs w:val="48"/>
        </w:rPr>
      </w:pPr>
    </w:p>
    <w:p w14:paraId="08052040">
      <w:pPr>
        <w:widowControl/>
        <w:ind w:firstLine="0" w:firstLineChars="0"/>
        <w:jc w:val="left"/>
        <w:rPr>
          <w:rFonts w:ascii="宋体" w:hAnsi="宋体" w:cs="Times New Roman"/>
          <w:b/>
          <w:sz w:val="48"/>
          <w:szCs w:val="48"/>
        </w:rPr>
      </w:pPr>
    </w:p>
    <w:p w14:paraId="08AE5233">
      <w:pPr>
        <w:pStyle w:val="45"/>
        <w:rPr>
          <w:rFonts w:ascii="宋体" w:hAnsi="宋体" w:cs="Times New Roman"/>
          <w:b/>
          <w:sz w:val="48"/>
          <w:szCs w:val="48"/>
        </w:rPr>
      </w:pPr>
    </w:p>
    <w:p w14:paraId="6514B203">
      <w:pPr>
        <w:widowControl/>
        <w:ind w:firstLine="0" w:firstLineChars="0"/>
        <w:jc w:val="center"/>
        <w:rPr>
          <w:rFonts w:ascii="宋体" w:hAnsi="宋体" w:cs="Times New Roman"/>
          <w:b/>
          <w:sz w:val="48"/>
          <w:szCs w:val="48"/>
        </w:rPr>
      </w:pPr>
      <w:r>
        <w:drawing>
          <wp:inline distT="0" distB="0" distL="114300" distR="114300">
            <wp:extent cx="5400040" cy="1143000"/>
            <wp:effectExtent l="0" t="0" r="1016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400040" cy="1143000"/>
                    </a:xfrm>
                    <a:prstGeom prst="rect">
                      <a:avLst/>
                    </a:prstGeom>
                    <a:noFill/>
                    <a:ln>
                      <a:noFill/>
                    </a:ln>
                  </pic:spPr>
                </pic:pic>
              </a:graphicData>
            </a:graphic>
          </wp:inline>
        </w:drawing>
      </w:r>
    </w:p>
    <w:p w14:paraId="36E112EA">
      <w:pPr>
        <w:widowControl/>
        <w:ind w:firstLine="0" w:firstLineChars="0"/>
        <w:jc w:val="center"/>
        <w:rPr>
          <w:rFonts w:ascii="宋体" w:hAnsi="宋体" w:cs="Times New Roman"/>
          <w:b/>
          <w:sz w:val="32"/>
          <w:szCs w:val="32"/>
        </w:rPr>
      </w:pPr>
    </w:p>
    <w:p w14:paraId="6660FB1F">
      <w:pPr>
        <w:widowControl/>
        <w:ind w:firstLine="0" w:firstLineChars="0"/>
        <w:jc w:val="center"/>
        <w:rPr>
          <w:rFonts w:hint="eastAsia" w:ascii="宋体" w:hAnsi="宋体" w:eastAsia="宋体" w:cs="Times New Roman"/>
          <w:b/>
          <w:sz w:val="32"/>
          <w:szCs w:val="32"/>
          <w:lang w:val="en-US" w:eastAsia="zh-CN"/>
        </w:rPr>
      </w:pPr>
      <w:r>
        <w:rPr>
          <w:rFonts w:hint="eastAsia" w:ascii="宋体" w:hAnsi="宋体" w:cs="Times New Roman"/>
          <w:b/>
          <w:sz w:val="32"/>
          <w:szCs w:val="32"/>
          <w:lang w:eastAsia="zh-CN"/>
        </w:rPr>
        <w:t>2025-03</w:t>
      </w:r>
    </w:p>
    <w:p w14:paraId="1EA9FEC6">
      <w:pPr>
        <w:widowControl/>
        <w:spacing w:line="240" w:lineRule="auto"/>
        <w:ind w:firstLine="0" w:firstLineChars="0"/>
        <w:jc w:val="left"/>
        <w:rPr>
          <w:rFonts w:ascii="黑体" w:hAnsi="Calibri" w:eastAsia="黑体" w:cs="Times New Roman"/>
          <w:b/>
          <w:sz w:val="48"/>
          <w:szCs w:val="48"/>
        </w:rPr>
      </w:pPr>
    </w:p>
    <w:p w14:paraId="0B2D67F7">
      <w:pPr>
        <w:ind w:firstLine="0" w:firstLineChars="0"/>
        <w:jc w:val="center"/>
        <w:rPr>
          <w:b/>
          <w:bCs/>
          <w:sz w:val="36"/>
          <w:szCs w:val="36"/>
        </w:rPr>
      </w:pPr>
    </w:p>
    <w:p w14:paraId="23C95240">
      <w:pPr>
        <w:ind w:firstLine="0" w:firstLineChars="0"/>
        <w:jc w:val="center"/>
        <w:rPr>
          <w:b/>
          <w:bCs/>
          <w:sz w:val="36"/>
          <w:szCs w:val="36"/>
        </w:rPr>
        <w:sectPr>
          <w:headerReference r:id="rId7" w:type="first"/>
          <w:footerReference r:id="rId10" w:type="first"/>
          <w:headerReference r:id="rId5" w:type="default"/>
          <w:footerReference r:id="rId8" w:type="default"/>
          <w:headerReference r:id="rId6" w:type="even"/>
          <w:footerReference r:id="rId9" w:type="even"/>
          <w:pgSz w:w="23811" w:h="16838" w:orient="landscape"/>
          <w:pgMar w:top="1418" w:right="1440" w:bottom="1134" w:left="1440" w:header="680" w:footer="737" w:gutter="0"/>
          <w:cols w:space="1201" w:num="1"/>
          <w:docGrid w:type="lines" w:linePitch="326" w:charSpace="0"/>
        </w:sectPr>
      </w:pPr>
    </w:p>
    <w:p w14:paraId="07561579">
      <w:pPr>
        <w:ind w:firstLine="0" w:firstLineChars="0"/>
        <w:jc w:val="center"/>
        <w:rPr>
          <w:b/>
          <w:bCs/>
          <w:sz w:val="36"/>
          <w:szCs w:val="36"/>
        </w:rPr>
      </w:pPr>
      <w:r>
        <w:rPr>
          <w:rFonts w:hint="eastAsia"/>
          <w:b/>
          <w:bCs/>
          <w:sz w:val="36"/>
          <w:szCs w:val="36"/>
          <w:lang w:val="en-US" w:eastAsia="zh-CN"/>
        </w:rPr>
        <w:t>临时道路</w:t>
      </w:r>
      <w:r>
        <w:rPr>
          <w:rFonts w:hint="eastAsia"/>
          <w:b/>
          <w:bCs/>
          <w:sz w:val="36"/>
          <w:szCs w:val="36"/>
        </w:rPr>
        <w:t>工程设计说明</w:t>
      </w:r>
    </w:p>
    <w:p w14:paraId="1CE3654F">
      <w:pPr>
        <w:ind w:firstLine="0" w:firstLineChars="0"/>
        <w:jc w:val="center"/>
        <w:rPr>
          <w:b/>
          <w:bCs/>
          <w:sz w:val="36"/>
          <w:szCs w:val="36"/>
        </w:rPr>
      </w:pPr>
    </w:p>
    <w:p w14:paraId="12E6B66E">
      <w:pPr>
        <w:pStyle w:val="3"/>
        <w:bidi w:val="0"/>
        <w:ind w:firstLine="198"/>
        <w:rPr>
          <w:rFonts w:hint="eastAsia" w:ascii="Times New Roman" w:hAnsi="Times New Roman" w:eastAsia="宋体"/>
        </w:rPr>
      </w:pPr>
      <w:bookmarkStart w:id="1" w:name="_Hlk68622050"/>
      <w:r>
        <w:rPr>
          <w:rFonts w:hint="eastAsia" w:ascii="Times New Roman" w:hAnsi="Times New Roman" w:eastAsia="宋体"/>
        </w:rPr>
        <w:t>一、概述</w:t>
      </w:r>
    </w:p>
    <w:p w14:paraId="34F2D710">
      <w:pPr>
        <w:ind w:firstLine="480"/>
      </w:pPr>
      <w:r>
        <w:rPr>
          <w:rFonts w:hint="eastAsia"/>
        </w:rPr>
        <w:t>广州空港经济区管理委员会《2021年第7次分管领导国土规划建设专题工作会议纪要》（2021年8月19日）议定事项如下：</w:t>
      </w:r>
    </w:p>
    <w:p w14:paraId="4A3CC4DF">
      <w:pPr>
        <w:ind w:firstLine="480"/>
        <w:rPr>
          <w:rFonts w:hint="eastAsia"/>
        </w:rPr>
      </w:pPr>
      <w:r>
        <w:rPr>
          <w:rFonts w:hint="eastAsia"/>
        </w:rPr>
        <w:t>“(一)同意将非花东安置区红线范围内的周边配套道路（支路一北半幅、支路四东半幅及支路四南半段)纳入花东安置区二期建设范围统筹实施。</w:t>
      </w:r>
    </w:p>
    <w:p w14:paraId="58EE36FA">
      <w:pPr>
        <w:ind w:firstLine="480"/>
      </w:pPr>
      <w:r>
        <w:rPr>
          <w:rFonts w:hint="eastAsia"/>
        </w:rPr>
        <w:t>(二)同意在支路四南半段线位上建设一条临时道路(长约210，宽约8米）接驳现有村道，并同步敷设给水、雨水和污水管接驳至花都大道，其中给水管径应满足安置区使用需求，以解决安置区居民出行和管线路由问题。请委规建局、委土发和质安中心协调属地政府，空港建设公司配合开展临时道路借地工作。”</w:t>
      </w:r>
    </w:p>
    <w:p w14:paraId="23DFDC21">
      <w:pPr>
        <w:ind w:firstLine="480"/>
        <w:rPr>
          <w:rFonts w:hint="eastAsia"/>
          <w:lang w:val="en-US" w:eastAsia="zh-CN"/>
        </w:rPr>
      </w:pPr>
      <w:r>
        <w:rPr>
          <w:rFonts w:hint="eastAsia"/>
          <w:lang w:val="en-US" w:eastAsia="zh-CN"/>
        </w:rPr>
        <w:t>根据会议纪要，支路四西半幅南段已有</w:t>
      </w:r>
      <w:r>
        <w:rPr>
          <w:rFonts w:hint="eastAsia"/>
        </w:rPr>
        <w:t>广州空港经济区起步区拆迁安置区（花东安置区）一期工程项目</w:t>
      </w:r>
      <w:r>
        <w:rPr>
          <w:rFonts w:hint="eastAsia"/>
          <w:lang w:val="en-US" w:eastAsia="zh-CN"/>
        </w:rPr>
        <w:t>按临时道路标准建设，实施红线宽度10米含路基8米及恢复水渠2米。</w:t>
      </w:r>
    </w:p>
    <w:p w14:paraId="5C032A50">
      <w:pPr>
        <w:ind w:firstLine="480"/>
        <w:rPr>
          <w:rFonts w:hint="default" w:eastAsia="宋体"/>
          <w:lang w:val="en-US" w:eastAsia="zh-CN"/>
        </w:rPr>
      </w:pPr>
      <w:r>
        <w:rPr>
          <w:rFonts w:hint="eastAsia"/>
          <w:lang w:val="en-US" w:eastAsia="zh-CN"/>
        </w:rPr>
        <w:t>根据项目道路建设用地支路四西半幅北段纳入本次建设范围，</w:t>
      </w:r>
      <w:r>
        <w:rPr>
          <w:rFonts w:hint="eastAsia"/>
        </w:rPr>
        <w:t>支路四临时道路（二期）</w:t>
      </w:r>
      <w:r>
        <w:rPr>
          <w:rFonts w:hint="eastAsia"/>
          <w:lang w:val="en-US" w:eastAsia="zh-CN"/>
        </w:rPr>
        <w:t>作为支路四西半幅北段，道路南</w:t>
      </w:r>
      <w:r>
        <w:rPr>
          <w:rFonts w:hint="eastAsia"/>
        </w:rPr>
        <w:t>起永安东路，</w:t>
      </w:r>
      <w:r>
        <w:rPr>
          <w:rFonts w:hint="eastAsia"/>
          <w:lang w:val="en-US" w:eastAsia="zh-CN"/>
        </w:rPr>
        <w:t>北</w:t>
      </w:r>
      <w:r>
        <w:rPr>
          <w:rFonts w:hint="eastAsia"/>
        </w:rPr>
        <w:t>接现状村道，</w:t>
      </w:r>
      <w:r>
        <w:rPr>
          <w:rFonts w:hint="eastAsia"/>
          <w:lang w:val="en-US" w:eastAsia="zh-CN"/>
        </w:rPr>
        <w:t>规划红线宽度20米，本次实施用地红线宽度</w:t>
      </w:r>
      <w:r>
        <w:rPr>
          <w:rFonts w:hint="eastAsia"/>
        </w:rPr>
        <w:t>1</w:t>
      </w:r>
      <w:r>
        <w:t>0</w:t>
      </w:r>
      <w:r>
        <w:rPr>
          <w:rFonts w:hint="eastAsia"/>
        </w:rPr>
        <w:t>米，路基宽度8米</w:t>
      </w:r>
      <w:r>
        <w:rPr>
          <w:rFonts w:hint="eastAsia"/>
          <w:lang w:val="en-US" w:eastAsia="zh-CN"/>
        </w:rPr>
        <w:t>及恢复水渠宽度2米</w:t>
      </w:r>
      <w:r>
        <w:rPr>
          <w:rFonts w:hint="eastAsia"/>
        </w:rPr>
        <w:t>，其中</w:t>
      </w:r>
      <w:r>
        <w:rPr>
          <w:rFonts w:hint="eastAsia"/>
          <w:lang w:val="en-US" w:eastAsia="zh-CN"/>
        </w:rPr>
        <w:t>路基部分</w:t>
      </w:r>
      <w:r>
        <w:rPr>
          <w:rFonts w:hint="eastAsia"/>
        </w:rPr>
        <w:t>车行道宽6.5米，人行道宽度1.5米，设计速度2</w:t>
      </w:r>
      <w:r>
        <w:t>0</w:t>
      </w:r>
      <w:r>
        <w:rPr>
          <w:rFonts w:hint="eastAsia"/>
        </w:rPr>
        <w:t>km/</w:t>
      </w:r>
      <w:r>
        <w:t>h</w:t>
      </w:r>
      <w:r>
        <w:rPr>
          <w:rFonts w:hint="eastAsia"/>
        </w:rPr>
        <w:t>，</w:t>
      </w:r>
      <w:r>
        <w:rPr>
          <w:rFonts w:hint="eastAsia" w:hAnsi="宋体"/>
          <w:bCs/>
        </w:rPr>
        <w:t>双向两车道</w:t>
      </w:r>
      <w:r>
        <w:rPr>
          <w:rFonts w:hint="eastAsia"/>
        </w:rPr>
        <w:t>，采用混凝土路面</w:t>
      </w:r>
      <w:r>
        <w:rPr>
          <w:rFonts w:hint="eastAsia"/>
          <w:lang w:eastAsia="zh-CN"/>
        </w:rPr>
        <w:t>，</w:t>
      </w:r>
      <w:r>
        <w:rPr>
          <w:rFonts w:hint="eastAsia"/>
          <w:lang w:val="en-US" w:eastAsia="zh-CN"/>
        </w:rPr>
        <w:t>采用与</w:t>
      </w:r>
      <w:r>
        <w:rPr>
          <w:rFonts w:hint="eastAsia"/>
        </w:rPr>
        <w:t>广州空港经济区起步区拆迁安置区（花东安置区）一期工程项目</w:t>
      </w:r>
      <w:r>
        <w:rPr>
          <w:rFonts w:hint="eastAsia"/>
          <w:lang w:val="en-US" w:eastAsia="zh-CN"/>
        </w:rPr>
        <w:t>相同临时路标准。</w:t>
      </w:r>
    </w:p>
    <w:p w14:paraId="753AE4E7">
      <w:pPr>
        <w:ind w:firstLine="480"/>
        <w:rPr>
          <w:rFonts w:cs="宋体"/>
        </w:rPr>
      </w:pPr>
      <w:bookmarkStart w:id="2" w:name="_Hlk66960137"/>
      <w:r>
        <w:rPr>
          <w:rFonts w:hint="eastAsia" w:cs="宋体"/>
        </w:rPr>
        <w:t>本项目</w:t>
      </w:r>
      <w:r>
        <w:rPr>
          <w:rFonts w:cs="宋体"/>
        </w:rPr>
        <w:t>高程系统采用广州</w:t>
      </w:r>
      <w:r>
        <w:rPr>
          <w:rFonts w:hint="eastAsia" w:cs="宋体"/>
        </w:rPr>
        <w:t>城建</w:t>
      </w:r>
      <w:r>
        <w:rPr>
          <w:rFonts w:cs="宋体"/>
        </w:rPr>
        <w:t>高程系统</w:t>
      </w:r>
      <w:r>
        <w:rPr>
          <w:rFonts w:hint="eastAsia" w:cs="宋体"/>
        </w:rPr>
        <w:t>，</w:t>
      </w:r>
      <w:r>
        <w:rPr>
          <w:rFonts w:cs="宋体"/>
        </w:rPr>
        <w:t>坐标系采用广州</w:t>
      </w:r>
      <w:r>
        <w:rPr>
          <w:rFonts w:hint="eastAsia" w:cs="宋体"/>
        </w:rPr>
        <w:t>2</w:t>
      </w:r>
      <w:r>
        <w:rPr>
          <w:rFonts w:cs="宋体"/>
        </w:rPr>
        <w:t>000坐标系统</w:t>
      </w:r>
      <w:bookmarkEnd w:id="2"/>
      <w:r>
        <w:rPr>
          <w:rFonts w:hint="eastAsia" w:cs="宋体"/>
        </w:rPr>
        <w:t>。</w:t>
      </w:r>
    </w:p>
    <w:p w14:paraId="35C6D237">
      <w:pPr>
        <w:ind w:firstLine="480"/>
        <w:rPr>
          <w:rFonts w:hint="eastAsia" w:ascii="宋体" w:hAnsi="宋体"/>
          <w:bCs/>
        </w:rPr>
      </w:pPr>
      <w:r>
        <w:rPr>
          <w:rFonts w:hint="eastAsia" w:ascii="宋体" w:hAnsi="宋体"/>
          <w:bCs/>
        </w:rPr>
        <w:t>本项目图纸共分为</w:t>
      </w:r>
      <w:r>
        <w:rPr>
          <w:rFonts w:hint="eastAsia" w:ascii="宋体" w:hAnsi="宋体"/>
          <w:bCs/>
          <w:lang w:val="en-US" w:eastAsia="zh-CN"/>
        </w:rPr>
        <w:t>八</w:t>
      </w:r>
      <w:r>
        <w:rPr>
          <w:rFonts w:hint="eastAsia" w:ascii="宋体" w:hAnsi="宋体"/>
          <w:bCs/>
        </w:rPr>
        <w:t>册，本册图纸为第</w:t>
      </w:r>
      <w:r>
        <w:rPr>
          <w:rFonts w:hint="eastAsia" w:ascii="宋体" w:hAnsi="宋体"/>
          <w:bCs/>
          <w:lang w:val="en-US" w:eastAsia="zh-CN"/>
        </w:rPr>
        <w:t>八</w:t>
      </w:r>
      <w:r>
        <w:rPr>
          <w:rFonts w:hint="eastAsia" w:ascii="宋体" w:hAnsi="宋体"/>
          <w:bCs/>
        </w:rPr>
        <w:t>册：临时道路。</w:t>
      </w:r>
    </w:p>
    <w:p w14:paraId="202F714C">
      <w:pPr>
        <w:ind w:firstLine="0" w:firstLineChars="0"/>
        <w:jc w:val="center"/>
      </w:pPr>
      <w:r>
        <w:drawing>
          <wp:inline distT="0" distB="0" distL="114300" distR="114300">
            <wp:extent cx="6256020" cy="4281805"/>
            <wp:effectExtent l="0" t="0" r="11430" b="444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9"/>
                    <a:stretch>
                      <a:fillRect/>
                    </a:stretch>
                  </pic:blipFill>
                  <pic:spPr>
                    <a:xfrm>
                      <a:off x="0" y="0"/>
                      <a:ext cx="6256020" cy="4281805"/>
                    </a:xfrm>
                    <a:prstGeom prst="rect">
                      <a:avLst/>
                    </a:prstGeom>
                    <a:noFill/>
                    <a:ln>
                      <a:noFill/>
                    </a:ln>
                  </pic:spPr>
                </pic:pic>
              </a:graphicData>
            </a:graphic>
          </wp:inline>
        </w:drawing>
      </w:r>
    </w:p>
    <w:p w14:paraId="571A3A90">
      <w:pPr>
        <w:ind w:firstLine="0" w:firstLineChars="0"/>
        <w:jc w:val="center"/>
        <w:rPr>
          <w:b/>
          <w:bCs/>
        </w:rPr>
      </w:pPr>
      <w:r>
        <w:rPr>
          <w:rFonts w:hint="eastAsia"/>
          <w:b/>
          <w:bCs/>
        </w:rPr>
        <w:t>项目地理位置图</w:t>
      </w:r>
    </w:p>
    <w:p w14:paraId="25D6E03A">
      <w:pPr>
        <w:ind w:firstLine="0" w:firstLineChars="0"/>
        <w:rPr>
          <w:rFonts w:hint="eastAsia" w:ascii="宋体" w:hAnsi="宋体" w:eastAsia="宋体"/>
          <w:b/>
          <w:lang w:val="en-US" w:eastAsia="zh-CN"/>
        </w:rPr>
      </w:pPr>
      <w:r>
        <w:rPr>
          <w:rFonts w:hint="eastAsia" w:ascii="宋体" w:hAnsi="宋体"/>
          <w:b/>
        </w:rPr>
        <w:t>1</w:t>
      </w:r>
      <w:r>
        <w:rPr>
          <w:rFonts w:ascii="宋体" w:hAnsi="宋体"/>
          <w:b/>
        </w:rPr>
        <w:t>.1</w:t>
      </w:r>
      <w:r>
        <w:rPr>
          <w:rFonts w:hint="eastAsia" w:ascii="宋体" w:hAnsi="宋体"/>
          <w:b/>
        </w:rPr>
        <w:t>主要设计</w:t>
      </w:r>
      <w:r>
        <w:rPr>
          <w:rFonts w:hint="eastAsia" w:ascii="宋体" w:hAnsi="宋体"/>
          <w:b/>
          <w:lang w:val="en-US" w:eastAsia="zh-CN"/>
        </w:rPr>
        <w:t>依据</w:t>
      </w:r>
    </w:p>
    <w:p w14:paraId="587CDDCC">
      <w:pPr>
        <w:ind w:firstLine="480"/>
        <w:rPr>
          <w:rFonts w:cs="宋体"/>
        </w:rPr>
      </w:pPr>
      <w:r>
        <w:rPr>
          <w:rFonts w:hint="eastAsia" w:cs="宋体"/>
        </w:rPr>
        <w:t>（1）《工程设计标准强制性条文》（城市建设工程部分）（2013版）；</w:t>
      </w:r>
    </w:p>
    <w:p w14:paraId="248242B1">
      <w:pPr>
        <w:ind w:firstLine="480"/>
        <w:rPr>
          <w:rFonts w:cs="宋体"/>
        </w:rPr>
      </w:pPr>
      <w:r>
        <w:rPr>
          <w:rFonts w:hint="eastAsia" w:cs="宋体"/>
        </w:rPr>
        <w:t>（</w:t>
      </w:r>
      <w:r>
        <w:rPr>
          <w:rFonts w:cs="宋体"/>
        </w:rPr>
        <w:t>2</w:t>
      </w:r>
      <w:r>
        <w:rPr>
          <w:rFonts w:hint="eastAsia" w:cs="宋体"/>
        </w:rPr>
        <w:t>）《乡村道路工程技术规范》GB5</w:t>
      </w:r>
      <w:r>
        <w:rPr>
          <w:rFonts w:cs="宋体"/>
        </w:rPr>
        <w:t>1224</w:t>
      </w:r>
      <w:r>
        <w:rPr>
          <w:rFonts w:hint="eastAsia" w:cs="宋体"/>
        </w:rPr>
        <w:t>-201</w:t>
      </w:r>
      <w:r>
        <w:rPr>
          <w:rFonts w:cs="宋体"/>
        </w:rPr>
        <w:t>7</w:t>
      </w:r>
      <w:r>
        <w:rPr>
          <w:rFonts w:hint="eastAsia" w:cs="宋体"/>
        </w:rPr>
        <w:t>；</w:t>
      </w:r>
    </w:p>
    <w:p w14:paraId="6AF104F2">
      <w:pPr>
        <w:ind w:firstLine="480"/>
        <w:rPr>
          <w:rFonts w:cs="宋体"/>
        </w:rPr>
      </w:pPr>
      <w:r>
        <w:rPr>
          <w:rFonts w:hint="eastAsia" w:cs="宋体"/>
        </w:rPr>
        <w:t>（</w:t>
      </w:r>
      <w:r>
        <w:rPr>
          <w:rFonts w:cs="宋体"/>
        </w:rPr>
        <w:t>3</w:t>
      </w:r>
      <w:r>
        <w:rPr>
          <w:rFonts w:hint="eastAsia" w:cs="宋体"/>
        </w:rPr>
        <w:t>）《无障碍设计规范》GB50763-2012；</w:t>
      </w:r>
    </w:p>
    <w:p w14:paraId="435E9072">
      <w:pPr>
        <w:ind w:firstLine="480"/>
        <w:rPr>
          <w:rFonts w:cs="宋体"/>
        </w:rPr>
      </w:pPr>
      <w:r>
        <w:rPr>
          <w:rFonts w:hint="eastAsia" w:cs="宋体"/>
        </w:rPr>
        <w:t>（</w:t>
      </w:r>
      <w:r>
        <w:rPr>
          <w:rFonts w:cs="宋体"/>
        </w:rPr>
        <w:t>4</w:t>
      </w:r>
      <w:r>
        <w:rPr>
          <w:rFonts w:hint="eastAsia" w:cs="宋体"/>
        </w:rPr>
        <w:t>）《城市道路路基设计规范》CJJ194-2013；</w:t>
      </w:r>
    </w:p>
    <w:p w14:paraId="6FCF09FF">
      <w:pPr>
        <w:ind w:firstLine="480"/>
        <w:rPr>
          <w:rFonts w:cs="宋体"/>
        </w:rPr>
      </w:pPr>
      <w:r>
        <w:rPr>
          <w:rFonts w:hint="eastAsia" w:cs="宋体"/>
        </w:rPr>
        <w:t>（</w:t>
      </w:r>
      <w:r>
        <w:rPr>
          <w:rFonts w:cs="宋体"/>
        </w:rPr>
        <w:t>5</w:t>
      </w:r>
      <w:r>
        <w:rPr>
          <w:rFonts w:hint="eastAsia" w:cs="宋体"/>
        </w:rPr>
        <w:t>）《城镇道路路面设计规范》CJJ169-2012；</w:t>
      </w:r>
    </w:p>
    <w:p w14:paraId="2A51A983">
      <w:pPr>
        <w:ind w:firstLine="480"/>
        <w:rPr>
          <w:rFonts w:cs="宋体"/>
          <w:color w:val="FF0000"/>
        </w:rPr>
      </w:pPr>
      <w:r>
        <w:rPr>
          <w:rFonts w:hint="eastAsia" w:cs="宋体"/>
          <w:color w:val="FF0000"/>
        </w:rPr>
        <w:t>（</w:t>
      </w:r>
      <w:r>
        <w:rPr>
          <w:rFonts w:cs="宋体"/>
          <w:color w:val="FF0000"/>
        </w:rPr>
        <w:t>6</w:t>
      </w:r>
      <w:r>
        <w:rPr>
          <w:rFonts w:hint="eastAsia" w:cs="宋体"/>
          <w:color w:val="FF0000"/>
        </w:rPr>
        <w:t>）</w:t>
      </w:r>
      <w:r>
        <w:rPr>
          <w:rFonts w:hint="eastAsia"/>
          <w:color w:val="FF0000"/>
        </w:rPr>
        <w:t>《室外排水设计标准》GB50014-20</w:t>
      </w:r>
      <w:r>
        <w:rPr>
          <w:rFonts w:hint="eastAsia"/>
          <w:color w:val="FF0000"/>
          <w:lang w:val="en-US" w:eastAsia="zh-CN"/>
        </w:rPr>
        <w:t>21</w:t>
      </w:r>
      <w:r>
        <w:rPr>
          <w:rFonts w:hint="eastAsia"/>
          <w:color w:val="FF0000"/>
        </w:rPr>
        <w:t>；</w:t>
      </w:r>
    </w:p>
    <w:p w14:paraId="2DEFE6BD">
      <w:pPr>
        <w:ind w:firstLine="480"/>
        <w:rPr>
          <w:rFonts w:cs="宋体"/>
        </w:rPr>
      </w:pPr>
      <w:r>
        <w:rPr>
          <w:rFonts w:hint="eastAsia" w:cs="宋体"/>
        </w:rPr>
        <w:t>（</w:t>
      </w:r>
      <w:r>
        <w:rPr>
          <w:rFonts w:cs="宋体"/>
        </w:rPr>
        <w:t>7</w:t>
      </w:r>
      <w:r>
        <w:rPr>
          <w:rFonts w:hint="eastAsia" w:cs="宋体"/>
        </w:rPr>
        <w:t>）《城市道路照明设计标准》CJJ45-2015；</w:t>
      </w:r>
    </w:p>
    <w:p w14:paraId="27D22CE3">
      <w:pPr>
        <w:ind w:firstLine="480"/>
        <w:rPr>
          <w:rFonts w:hint="eastAsia" w:ascii="Times New Roman" w:hAnsi="Times New Roman" w:eastAsia="宋体"/>
          <w:color w:val="FF0000"/>
          <w:lang w:val="en-US" w:eastAsia="zh-CN"/>
        </w:rPr>
      </w:pPr>
      <w:r>
        <w:rPr>
          <w:rFonts w:hint="eastAsia" w:cs="宋体"/>
          <w:color w:val="FF0000"/>
        </w:rPr>
        <w:t>（</w:t>
      </w:r>
      <w:r>
        <w:rPr>
          <w:rFonts w:cs="宋体"/>
          <w:color w:val="FF0000"/>
        </w:rPr>
        <w:t>8</w:t>
      </w:r>
      <w:r>
        <w:rPr>
          <w:rFonts w:hint="eastAsia" w:cs="宋体"/>
          <w:color w:val="FF0000"/>
        </w:rPr>
        <w:t>）</w:t>
      </w:r>
      <w:r>
        <w:rPr>
          <w:rFonts w:hint="eastAsia" w:ascii="Times New Roman" w:hAnsi="Times New Roman" w:eastAsia="宋体"/>
          <w:color w:val="FF0000"/>
          <w:lang w:eastAsia="zh-CN"/>
        </w:rPr>
        <w:t>《道路交通标志和标线 第2部分</w:t>
      </w:r>
      <w:r>
        <w:rPr>
          <w:rFonts w:hint="eastAsia" w:ascii="Times New Roman" w:hAnsi="Times New Roman" w:eastAsia="宋体"/>
          <w:color w:val="FF0000"/>
          <w:lang w:val="en-US" w:eastAsia="zh-CN"/>
        </w:rPr>
        <w:t xml:space="preserve"> </w:t>
      </w:r>
      <w:r>
        <w:rPr>
          <w:rFonts w:hint="eastAsia" w:ascii="Times New Roman" w:hAnsi="Times New Roman" w:eastAsia="宋体"/>
          <w:color w:val="FF0000"/>
          <w:lang w:eastAsia="zh-CN"/>
        </w:rPr>
        <w:t>道路交通标志》GB 5768</w:t>
      </w:r>
      <w:r>
        <w:rPr>
          <w:rFonts w:hint="eastAsia" w:ascii="Times New Roman" w:hAnsi="Times New Roman" w:eastAsia="宋体"/>
          <w:color w:val="FF0000"/>
          <w:lang w:val="en-US" w:eastAsia="zh-CN"/>
        </w:rPr>
        <w:t>.2</w:t>
      </w:r>
      <w:r>
        <w:rPr>
          <w:rFonts w:hint="eastAsia" w:ascii="Times New Roman" w:hAnsi="Times New Roman" w:eastAsia="宋体"/>
          <w:color w:val="FF0000"/>
          <w:lang w:eastAsia="zh-CN"/>
        </w:rPr>
        <w:t>-20</w:t>
      </w:r>
      <w:r>
        <w:rPr>
          <w:rFonts w:hint="eastAsia" w:ascii="Times New Roman" w:hAnsi="Times New Roman" w:eastAsia="宋体"/>
          <w:color w:val="FF0000"/>
          <w:lang w:val="en-US" w:eastAsia="zh-CN"/>
        </w:rPr>
        <w:t>22</w:t>
      </w:r>
    </w:p>
    <w:p w14:paraId="4D1CE2CF">
      <w:pPr>
        <w:ind w:firstLine="480"/>
        <w:rPr>
          <w:rFonts w:hint="eastAsia" w:ascii="Times New Roman" w:hAnsi="Times New Roman" w:eastAsia="宋体"/>
          <w:color w:val="FF0000"/>
          <w:lang w:val="en-US" w:eastAsia="zh-CN"/>
        </w:rPr>
      </w:pPr>
      <w:r>
        <w:rPr>
          <w:rFonts w:hint="eastAsia" w:ascii="Times New Roman" w:hAnsi="Times New Roman" w:eastAsia="宋体"/>
          <w:color w:val="FF0000"/>
          <w:lang w:eastAsia="zh-CN"/>
        </w:rPr>
        <w:t>（</w:t>
      </w:r>
      <w:r>
        <w:rPr>
          <w:rFonts w:hint="eastAsia" w:ascii="Times New Roman" w:hAnsi="Times New Roman" w:eastAsia="宋体"/>
          <w:color w:val="FF0000"/>
          <w:lang w:val="en-US" w:eastAsia="zh-CN"/>
        </w:rPr>
        <w:t>9</w:t>
      </w:r>
      <w:r>
        <w:rPr>
          <w:rFonts w:hint="eastAsia" w:ascii="Times New Roman" w:hAnsi="Times New Roman" w:eastAsia="宋体"/>
          <w:color w:val="FF0000"/>
          <w:lang w:eastAsia="zh-CN"/>
        </w:rPr>
        <w:t>）《道路交通标志和标线 第</w:t>
      </w:r>
      <w:r>
        <w:rPr>
          <w:rFonts w:hint="eastAsia" w:ascii="Times New Roman" w:hAnsi="Times New Roman" w:eastAsia="宋体"/>
          <w:color w:val="FF0000"/>
          <w:lang w:val="en-US" w:eastAsia="zh-CN"/>
        </w:rPr>
        <w:t>3</w:t>
      </w:r>
      <w:r>
        <w:rPr>
          <w:rFonts w:hint="eastAsia" w:ascii="Times New Roman" w:hAnsi="Times New Roman" w:eastAsia="宋体"/>
          <w:color w:val="FF0000"/>
          <w:lang w:eastAsia="zh-CN"/>
        </w:rPr>
        <w:t>部分</w:t>
      </w:r>
      <w:r>
        <w:rPr>
          <w:rFonts w:hint="eastAsia" w:ascii="Times New Roman" w:hAnsi="Times New Roman" w:eastAsia="宋体"/>
          <w:color w:val="FF0000"/>
          <w:lang w:val="en-US" w:eastAsia="zh-CN"/>
        </w:rPr>
        <w:t xml:space="preserve"> </w:t>
      </w:r>
      <w:r>
        <w:rPr>
          <w:rFonts w:hint="eastAsia" w:ascii="Times New Roman" w:hAnsi="Times New Roman" w:eastAsia="宋体"/>
          <w:color w:val="FF0000"/>
          <w:lang w:eastAsia="zh-CN"/>
        </w:rPr>
        <w:t>道路交通标线》GB 5768</w:t>
      </w:r>
      <w:r>
        <w:rPr>
          <w:rFonts w:hint="eastAsia" w:ascii="Times New Roman" w:hAnsi="Times New Roman" w:eastAsia="宋体"/>
          <w:color w:val="FF0000"/>
          <w:lang w:val="en-US" w:eastAsia="zh-CN"/>
        </w:rPr>
        <w:t>.3</w:t>
      </w:r>
      <w:r>
        <w:rPr>
          <w:rFonts w:hint="eastAsia" w:ascii="Times New Roman" w:hAnsi="Times New Roman" w:eastAsia="宋体"/>
          <w:color w:val="FF0000"/>
          <w:lang w:eastAsia="zh-CN"/>
        </w:rPr>
        <w:t>-20</w:t>
      </w:r>
      <w:r>
        <w:rPr>
          <w:rFonts w:hint="eastAsia" w:ascii="Times New Roman" w:hAnsi="Times New Roman" w:eastAsia="宋体"/>
          <w:color w:val="FF0000"/>
          <w:lang w:val="en-US" w:eastAsia="zh-CN"/>
        </w:rPr>
        <w:t>09</w:t>
      </w:r>
    </w:p>
    <w:p w14:paraId="15992621">
      <w:pPr>
        <w:ind w:firstLine="480"/>
        <w:rPr>
          <w:rFonts w:hint="eastAsia"/>
          <w:color w:val="FF0000"/>
        </w:rPr>
      </w:pPr>
      <w:r>
        <w:rPr>
          <w:rFonts w:hint="eastAsia"/>
          <w:color w:val="FF0000"/>
        </w:rPr>
        <w:t>（1</w:t>
      </w:r>
      <w:r>
        <w:rPr>
          <w:rFonts w:hint="eastAsia"/>
          <w:color w:val="FF0000"/>
          <w:lang w:val="en-US" w:eastAsia="zh-CN"/>
        </w:rPr>
        <w:t>0</w:t>
      </w:r>
      <w:r>
        <w:rPr>
          <w:rFonts w:hint="eastAsia"/>
          <w:color w:val="FF0000"/>
        </w:rPr>
        <w:t>）《建筑与市政工程无障碍通用规范》（GB55019-2021）</w:t>
      </w:r>
    </w:p>
    <w:p w14:paraId="08303E79">
      <w:pPr>
        <w:ind w:firstLine="480"/>
        <w:rPr>
          <w:rFonts w:hint="eastAsia"/>
          <w:color w:val="FF0000"/>
          <w:lang w:val="en-US" w:eastAsia="zh-CN"/>
        </w:rPr>
      </w:pPr>
      <w:r>
        <w:rPr>
          <w:rFonts w:hint="eastAsia"/>
          <w:color w:val="FF0000"/>
          <w:lang w:eastAsia="zh-CN"/>
        </w:rPr>
        <w:t>（</w:t>
      </w:r>
      <w:r>
        <w:rPr>
          <w:rFonts w:hint="eastAsia"/>
          <w:color w:val="FF0000"/>
          <w:lang w:val="en-US" w:eastAsia="zh-CN"/>
        </w:rPr>
        <w:t>11</w:t>
      </w:r>
      <w:r>
        <w:rPr>
          <w:rFonts w:hint="eastAsia"/>
          <w:color w:val="FF0000"/>
          <w:lang w:eastAsia="zh-CN"/>
        </w:rPr>
        <w:t>）</w:t>
      </w:r>
      <w:r>
        <w:rPr>
          <w:rFonts w:hint="eastAsia"/>
          <w:color w:val="FF0000"/>
        </w:rPr>
        <w:t>广州空港经济区拆迁安置区(花东安置区)教育配套设施建设项目初步设计技术评审意见</w:t>
      </w:r>
      <w:r>
        <w:rPr>
          <w:rFonts w:hint="eastAsia"/>
          <w:color w:val="FF0000"/>
          <w:lang w:val="en-US" w:eastAsia="zh-CN"/>
        </w:rPr>
        <w:t xml:space="preserve"> </w:t>
      </w:r>
    </w:p>
    <w:p w14:paraId="7DD92A1E">
      <w:pPr>
        <w:ind w:firstLine="480"/>
        <w:rPr>
          <w:rFonts w:hint="eastAsia"/>
          <w:color w:val="FF0000"/>
          <w:lang w:val="en-US" w:eastAsia="zh-CN"/>
        </w:rPr>
      </w:pPr>
      <w:r>
        <w:rPr>
          <w:rFonts w:hint="eastAsia"/>
          <w:color w:val="FF0000"/>
          <w:lang w:val="en-US" w:eastAsia="zh-CN"/>
        </w:rPr>
        <w:t>（12）关于广州空港经济区拆迁安置区（花东安置区）教育配套设施初步设计及概算的批复（穗空港建设业务〔2025〕1号）</w:t>
      </w:r>
    </w:p>
    <w:p w14:paraId="68D2CCAB">
      <w:pPr>
        <w:ind w:firstLine="480"/>
        <w:rPr>
          <w:rFonts w:hint="eastAsia" w:cs="宋体"/>
        </w:rPr>
      </w:pPr>
      <w:r>
        <w:rPr>
          <w:rFonts w:hint="eastAsia" w:cs="宋体"/>
        </w:rPr>
        <w:t>（</w:t>
      </w:r>
      <w:r>
        <w:rPr>
          <w:rFonts w:hint="eastAsia" w:cs="宋体"/>
          <w:lang w:val="en-US" w:eastAsia="zh-CN"/>
        </w:rPr>
        <w:t>13</w:t>
      </w:r>
      <w:r>
        <w:rPr>
          <w:rFonts w:hint="eastAsia" w:cs="宋体"/>
        </w:rPr>
        <w:t>）国家现行的其他相关规范、规程、标准。</w:t>
      </w:r>
    </w:p>
    <w:p w14:paraId="7A54CB54">
      <w:pPr>
        <w:pStyle w:val="3"/>
        <w:bidi w:val="0"/>
        <w:ind w:firstLine="198"/>
        <w:rPr>
          <w:rFonts w:hint="eastAsia" w:ascii="Times New Roman" w:hAnsi="Times New Roman" w:eastAsia="宋体"/>
        </w:rPr>
      </w:pPr>
      <w:bookmarkStart w:id="3" w:name="_Toc85646475"/>
      <w:bookmarkStart w:id="4" w:name="_Toc27477"/>
      <w:r>
        <w:rPr>
          <w:rFonts w:hint="eastAsia" w:ascii="Times New Roman" w:hAnsi="Times New Roman" w:eastAsia="宋体"/>
          <w:lang w:val="en-US" w:eastAsia="zh-CN"/>
        </w:rPr>
        <w:t>二、</w:t>
      </w:r>
      <w:r>
        <w:rPr>
          <w:rFonts w:hint="eastAsia" w:ascii="Times New Roman" w:hAnsi="Times New Roman" w:eastAsia="宋体"/>
        </w:rPr>
        <w:t>初设评审意见回复及执行情况</w:t>
      </w:r>
      <w:bookmarkEnd w:id="3"/>
      <w:bookmarkEnd w:id="4"/>
    </w:p>
    <w:p w14:paraId="363EB9A8">
      <w:pPr>
        <w:ind w:firstLine="480"/>
        <w:rPr>
          <w:rFonts w:hint="eastAsia" w:cs="宋体"/>
          <w:color w:val="FF0000"/>
          <w:lang w:val="en-US" w:eastAsia="zh-CN"/>
        </w:rPr>
      </w:pPr>
      <w:r>
        <w:rPr>
          <w:rFonts w:hint="eastAsia" w:cs="宋体"/>
          <w:color w:val="FF0000"/>
          <w:lang w:val="en-US" w:eastAsia="zh-CN"/>
        </w:rPr>
        <w:t>1、进一步完善平纵横设计</w:t>
      </w:r>
    </w:p>
    <w:p w14:paraId="343C2210">
      <w:pPr>
        <w:ind w:firstLine="480"/>
        <w:rPr>
          <w:rFonts w:hint="default" w:cs="宋体"/>
          <w:color w:val="FF0000"/>
          <w:lang w:val="en-US" w:eastAsia="zh-CN"/>
        </w:rPr>
      </w:pPr>
      <w:r>
        <w:rPr>
          <w:rFonts w:hint="eastAsia" w:cs="宋体"/>
          <w:color w:val="FF0000"/>
          <w:lang w:val="en-US" w:eastAsia="zh-CN"/>
        </w:rPr>
        <w:t>回复：按意见修改，补充远期规划道路线及远期支路四横断面。</w:t>
      </w:r>
    </w:p>
    <w:p w14:paraId="1F75DEE2">
      <w:pPr>
        <w:rPr>
          <w:rFonts w:hint="eastAsia" w:cs="宋体"/>
          <w:color w:val="FF0000"/>
          <w:lang w:val="en-US" w:eastAsia="zh-CN"/>
        </w:rPr>
      </w:pPr>
      <w:r>
        <w:rPr>
          <w:rFonts w:hint="eastAsia" w:cs="宋体"/>
          <w:color w:val="FF0000"/>
          <w:lang w:val="en-US" w:eastAsia="zh-CN"/>
        </w:rPr>
        <w:t>2、学校区域建议增加限速标志、注意儿童标志。</w:t>
      </w:r>
    </w:p>
    <w:p w14:paraId="03188BA7">
      <w:pPr>
        <w:ind w:firstLine="480"/>
        <w:rPr>
          <w:rFonts w:hint="default" w:cs="宋体"/>
          <w:color w:val="FF0000"/>
          <w:lang w:val="en-US" w:eastAsia="zh-CN"/>
        </w:rPr>
      </w:pPr>
      <w:r>
        <w:rPr>
          <w:rFonts w:hint="eastAsia" w:cs="宋体"/>
          <w:color w:val="FF0000"/>
          <w:lang w:val="en-US" w:eastAsia="zh-CN"/>
        </w:rPr>
        <w:t>回复：按意见补充。</w:t>
      </w:r>
    </w:p>
    <w:p w14:paraId="0EB52CE9">
      <w:pPr>
        <w:ind w:firstLine="480"/>
        <w:rPr>
          <w:rFonts w:hint="eastAsia" w:cs="宋体"/>
          <w:color w:val="FF0000"/>
          <w:lang w:val="en-US" w:eastAsia="zh-CN"/>
        </w:rPr>
      </w:pPr>
      <w:r>
        <w:rPr>
          <w:rFonts w:hint="eastAsia" w:cs="宋体"/>
          <w:color w:val="FF0000"/>
          <w:lang w:val="en-US" w:eastAsia="zh-CN"/>
        </w:rPr>
        <w:t>3、市政消火栓应采用防撞型。</w:t>
      </w:r>
    </w:p>
    <w:p w14:paraId="78FE629A">
      <w:pPr>
        <w:ind w:firstLine="480"/>
        <w:rPr>
          <w:rFonts w:hint="default" w:cs="宋体"/>
          <w:color w:val="FF0000"/>
          <w:lang w:val="en-US" w:eastAsia="zh-CN"/>
        </w:rPr>
      </w:pPr>
      <w:r>
        <w:rPr>
          <w:rFonts w:hint="eastAsia" w:cs="宋体"/>
          <w:color w:val="FF0000"/>
          <w:lang w:val="en-US" w:eastAsia="zh-CN"/>
        </w:rPr>
        <w:t>回复：按意见补充。</w:t>
      </w:r>
    </w:p>
    <w:bookmarkEnd w:id="1"/>
    <w:p w14:paraId="587D730C">
      <w:pPr>
        <w:pStyle w:val="3"/>
        <w:bidi w:val="0"/>
        <w:ind w:firstLine="198"/>
        <w:rPr>
          <w:rFonts w:hint="eastAsia" w:ascii="Times New Roman" w:hAnsi="Times New Roman" w:eastAsia="宋体"/>
        </w:rPr>
      </w:pPr>
      <w:bookmarkStart w:id="5" w:name="_Toc68620614"/>
      <w:bookmarkStart w:id="6" w:name="_Toc71703558"/>
      <w:bookmarkStart w:id="7" w:name="_Toc85646480"/>
      <w:r>
        <w:rPr>
          <w:rFonts w:hint="eastAsia" w:ascii="Times New Roman" w:hAnsi="Times New Roman" w:eastAsia="宋体"/>
          <w:lang w:val="en-US" w:eastAsia="zh-CN"/>
        </w:rPr>
        <w:t>三</w:t>
      </w:r>
      <w:r>
        <w:rPr>
          <w:rFonts w:hint="eastAsia" w:ascii="Times New Roman" w:hAnsi="Times New Roman" w:eastAsia="宋体"/>
        </w:rPr>
        <w:t>、地质概况</w:t>
      </w:r>
      <w:bookmarkEnd w:id="5"/>
      <w:bookmarkEnd w:id="6"/>
      <w:bookmarkEnd w:id="7"/>
    </w:p>
    <w:p w14:paraId="51ED0A5C">
      <w:pPr>
        <w:ind w:firstLine="480"/>
        <w:rPr>
          <w:rFonts w:ascii="宋体" w:hAnsi="宋体"/>
          <w:bCs/>
        </w:rPr>
      </w:pPr>
      <w:r>
        <w:rPr>
          <w:rFonts w:hint="eastAsia" w:ascii="宋体" w:hAnsi="宋体"/>
          <w:bCs/>
        </w:rPr>
        <w:t>临时道路暂无钻孔资料，地质情况参考《广州空港经济区起步区拆迁安置区（花东安置区）一期工程岩土工程勘察报告（详细勘察）》2021.07修编版。</w:t>
      </w:r>
    </w:p>
    <w:p w14:paraId="5480CED2">
      <w:pPr>
        <w:ind w:firstLine="480"/>
        <w:rPr>
          <w:rFonts w:ascii="宋体" w:hAnsi="宋体"/>
          <w:bCs/>
        </w:rPr>
      </w:pPr>
      <w:r>
        <w:rPr>
          <w:rFonts w:hint="eastAsia" w:ascii="宋体" w:hAnsi="宋体"/>
          <w:bCs/>
          <w:lang w:val="en-US" w:eastAsia="zh-CN"/>
        </w:rPr>
        <w:t>3.1</w:t>
      </w:r>
      <w:r>
        <w:rPr>
          <w:rFonts w:ascii="宋体" w:hAnsi="宋体"/>
          <w:bCs/>
        </w:rPr>
        <w:t>地形地貌</w:t>
      </w:r>
    </w:p>
    <w:p w14:paraId="5150C0C2">
      <w:pPr>
        <w:ind w:firstLine="480"/>
        <w:rPr>
          <w:rFonts w:ascii="宋体" w:hAnsi="宋体"/>
          <w:bCs/>
        </w:rPr>
      </w:pPr>
      <w:r>
        <w:rPr>
          <w:rFonts w:hint="eastAsia" w:ascii="宋体" w:hAnsi="宋体"/>
          <w:bCs/>
        </w:rPr>
        <w:t>广州东北部为中低山区，中部为丘陵盆地，南部是沿海、沿江冲积平原，系珠江三角洲的组成部分。地形较平坦，属于广花盆地单元。</w:t>
      </w:r>
    </w:p>
    <w:p w14:paraId="62D8B419">
      <w:pPr>
        <w:ind w:firstLine="480"/>
        <w:rPr>
          <w:rFonts w:ascii="宋体" w:hAnsi="宋体"/>
          <w:bCs/>
        </w:rPr>
      </w:pPr>
      <w:r>
        <w:rPr>
          <w:rFonts w:hint="eastAsia" w:ascii="宋体" w:hAnsi="宋体"/>
          <w:bCs/>
          <w:lang w:val="en-US" w:eastAsia="zh-CN"/>
        </w:rPr>
        <w:t>3.2</w:t>
      </w:r>
      <w:r>
        <w:rPr>
          <w:rFonts w:hint="eastAsia" w:ascii="宋体" w:hAnsi="宋体"/>
          <w:bCs/>
        </w:rPr>
        <w:t>场地岩土层分布</w:t>
      </w:r>
    </w:p>
    <w:p w14:paraId="4B70F8AC">
      <w:pPr>
        <w:autoSpaceDE w:val="0"/>
        <w:autoSpaceDN w:val="0"/>
        <w:adjustRightInd w:val="0"/>
        <w:ind w:firstLine="480"/>
        <w:jc w:val="left"/>
        <w:rPr>
          <w:rFonts w:ascii="宋体" w:cs="宋体"/>
          <w:kern w:val="0"/>
          <w:szCs w:val="24"/>
        </w:rPr>
      </w:pPr>
      <w:r>
        <w:rPr>
          <w:rFonts w:hint="eastAsia" w:ascii="宋体" w:cs="宋体"/>
          <w:kern w:val="0"/>
          <w:szCs w:val="24"/>
        </w:rPr>
        <w:t>根据钻孔揭露，场地岩土层按成因类型从上至下可划分为：（</w:t>
      </w:r>
      <w:r>
        <w:rPr>
          <w:rFonts w:cs="Times New Roman"/>
          <w:kern w:val="0"/>
          <w:szCs w:val="24"/>
        </w:rPr>
        <w:t>Q</w:t>
      </w:r>
      <w:r>
        <w:rPr>
          <w:rFonts w:cs="Times New Roman"/>
          <w:kern w:val="0"/>
          <w:sz w:val="16"/>
          <w:szCs w:val="16"/>
        </w:rPr>
        <w:t>4</w:t>
      </w:r>
      <w:r>
        <w:rPr>
          <w:rFonts w:cs="Times New Roman"/>
          <w:kern w:val="0"/>
          <w:sz w:val="22"/>
          <w:vertAlign w:val="superscript"/>
        </w:rPr>
        <w:t>ml</w:t>
      </w:r>
      <w:r>
        <w:rPr>
          <w:rFonts w:hint="eastAsia" w:ascii="宋体" w:cs="宋体"/>
          <w:kern w:val="0"/>
          <w:szCs w:val="24"/>
        </w:rPr>
        <w:t>）填土层、坡积层（</w:t>
      </w:r>
      <w:r>
        <w:rPr>
          <w:rFonts w:cs="Times New Roman"/>
          <w:kern w:val="0"/>
          <w:szCs w:val="24"/>
        </w:rPr>
        <w:t>Q</w:t>
      </w:r>
      <w:r>
        <w:rPr>
          <w:rFonts w:cs="Times New Roman"/>
          <w:kern w:val="0"/>
          <w:sz w:val="16"/>
          <w:szCs w:val="16"/>
        </w:rPr>
        <w:t>4</w:t>
      </w:r>
      <w:r>
        <w:rPr>
          <w:rFonts w:cs="Times New Roman"/>
          <w:kern w:val="0"/>
          <w:sz w:val="22"/>
          <w:vertAlign w:val="superscript"/>
        </w:rPr>
        <w:t>dl</w:t>
      </w:r>
      <w:r>
        <w:rPr>
          <w:rFonts w:hint="eastAsia" w:ascii="宋体" w:cs="宋体"/>
          <w:kern w:val="0"/>
          <w:szCs w:val="24"/>
        </w:rPr>
        <w:t>）、残积层（</w:t>
      </w:r>
      <w:r>
        <w:rPr>
          <w:rFonts w:cs="Times New Roman"/>
          <w:kern w:val="0"/>
          <w:szCs w:val="24"/>
        </w:rPr>
        <w:t>Q</w:t>
      </w:r>
      <w:r>
        <w:rPr>
          <w:rFonts w:cs="Times New Roman"/>
          <w:kern w:val="0"/>
          <w:sz w:val="16"/>
          <w:szCs w:val="16"/>
        </w:rPr>
        <w:t>4</w:t>
      </w:r>
      <w:r>
        <w:rPr>
          <w:rFonts w:cs="Times New Roman"/>
          <w:kern w:val="0"/>
          <w:sz w:val="22"/>
          <w:vertAlign w:val="superscript"/>
        </w:rPr>
        <w:t>el</w:t>
      </w:r>
      <w:r>
        <w:rPr>
          <w:rFonts w:hint="eastAsia" w:ascii="宋体" w:cs="宋体"/>
          <w:kern w:val="0"/>
          <w:szCs w:val="24"/>
        </w:rPr>
        <w:t>）、石炭系石灰岩、砂岩、页岩（</w:t>
      </w:r>
      <w:r>
        <w:rPr>
          <w:rFonts w:cs="Times New Roman"/>
          <w:kern w:val="0"/>
          <w:szCs w:val="24"/>
        </w:rPr>
        <w:t>C</w:t>
      </w:r>
      <w:r>
        <w:rPr>
          <w:rFonts w:hint="eastAsia" w:ascii="宋体" w:cs="宋体"/>
          <w:kern w:val="0"/>
          <w:szCs w:val="24"/>
        </w:rPr>
        <w:t>）。现将各岩土层的分布特点及物理力学性质分述如下：</w:t>
      </w:r>
    </w:p>
    <w:p w14:paraId="763CE4DC">
      <w:pPr>
        <w:autoSpaceDE w:val="0"/>
        <w:autoSpaceDN w:val="0"/>
        <w:adjustRightInd w:val="0"/>
        <w:ind w:firstLine="480"/>
        <w:jc w:val="left"/>
        <w:rPr>
          <w:rFonts w:ascii="宋体" w:cs="宋体"/>
          <w:kern w:val="0"/>
          <w:szCs w:val="24"/>
        </w:rPr>
      </w:pPr>
      <w:r>
        <w:rPr>
          <w:rFonts w:cs="Times New Roman"/>
          <w:kern w:val="0"/>
          <w:szCs w:val="24"/>
        </w:rPr>
        <w:t xml:space="preserve">3.2.1 </w:t>
      </w:r>
      <w:r>
        <w:rPr>
          <w:rFonts w:hint="eastAsia" w:ascii="宋体" w:cs="宋体"/>
          <w:kern w:val="0"/>
          <w:szCs w:val="24"/>
        </w:rPr>
        <w:t>素填土层（</w:t>
      </w:r>
      <w:r>
        <w:rPr>
          <w:rFonts w:cs="Times New Roman"/>
          <w:kern w:val="0"/>
          <w:szCs w:val="24"/>
        </w:rPr>
        <w:t>Q</w:t>
      </w:r>
      <w:r>
        <w:rPr>
          <w:rFonts w:cs="Times New Roman"/>
          <w:kern w:val="0"/>
          <w:sz w:val="16"/>
          <w:szCs w:val="16"/>
        </w:rPr>
        <w:t>4</w:t>
      </w:r>
      <w:r>
        <w:rPr>
          <w:rFonts w:cs="Times New Roman"/>
          <w:kern w:val="0"/>
          <w:sz w:val="22"/>
          <w:vertAlign w:val="superscript"/>
        </w:rPr>
        <w:t>ml</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①</w:t>
      </w:r>
      <w:r>
        <w:rPr>
          <w:rFonts w:cs="Times New Roman"/>
          <w:kern w:val="0"/>
          <w:szCs w:val="24"/>
        </w:rPr>
        <w:t>&gt;</w:t>
      </w:r>
      <w:r>
        <w:rPr>
          <w:rFonts w:hint="eastAsia" w:ascii="宋体" w:cs="宋体"/>
          <w:kern w:val="0"/>
          <w:szCs w:val="24"/>
        </w:rPr>
        <w:t>：</w:t>
      </w:r>
    </w:p>
    <w:p w14:paraId="066C63CE">
      <w:pPr>
        <w:autoSpaceDE w:val="0"/>
        <w:autoSpaceDN w:val="0"/>
        <w:adjustRightInd w:val="0"/>
        <w:ind w:firstLine="480"/>
        <w:jc w:val="left"/>
        <w:rPr>
          <w:rFonts w:ascii="宋体" w:cs="宋体"/>
          <w:kern w:val="0"/>
          <w:szCs w:val="24"/>
        </w:rPr>
      </w:pPr>
      <w:r>
        <w:rPr>
          <w:rFonts w:hint="eastAsia" w:ascii="宋体" w:cs="宋体"/>
          <w:kern w:val="0"/>
          <w:szCs w:val="24"/>
        </w:rPr>
        <w:t>褐黄色、浅灰色，松散，稍湿，以粉质黏土为主，含较多角砾、碎石等，碎石大多为砂岩原岩碎块，堆龄约</w:t>
      </w:r>
      <w:r>
        <w:rPr>
          <w:rFonts w:cs="Times New Roman"/>
          <w:kern w:val="0"/>
          <w:szCs w:val="24"/>
        </w:rPr>
        <w:t>5</w:t>
      </w:r>
      <w:r>
        <w:rPr>
          <w:rFonts w:hint="eastAsia" w:ascii="宋体" w:cs="宋体"/>
          <w:kern w:val="0"/>
          <w:szCs w:val="24"/>
        </w:rPr>
        <w:t>～</w:t>
      </w:r>
      <w:r>
        <w:rPr>
          <w:rFonts w:cs="Times New Roman"/>
          <w:kern w:val="0"/>
          <w:szCs w:val="24"/>
        </w:rPr>
        <w:t xml:space="preserve">10 </w:t>
      </w:r>
      <w:r>
        <w:rPr>
          <w:rFonts w:hint="eastAsia" w:ascii="宋体" w:cs="宋体"/>
          <w:kern w:val="0"/>
          <w:szCs w:val="24"/>
        </w:rPr>
        <w:t>年。层厚</w:t>
      </w:r>
      <w:r>
        <w:rPr>
          <w:rFonts w:cs="Times New Roman"/>
          <w:kern w:val="0"/>
          <w:szCs w:val="24"/>
        </w:rPr>
        <w:t>1.00~3.80m</w:t>
      </w:r>
      <w:r>
        <w:rPr>
          <w:rFonts w:hint="eastAsia" w:ascii="宋体" w:cs="宋体"/>
          <w:kern w:val="0"/>
          <w:szCs w:val="24"/>
        </w:rPr>
        <w:t>，平均厚度</w:t>
      </w:r>
      <w:r>
        <w:rPr>
          <w:rFonts w:cs="Times New Roman"/>
          <w:kern w:val="0"/>
          <w:szCs w:val="24"/>
        </w:rPr>
        <w:t>2.41m</w:t>
      </w:r>
      <w:r>
        <w:rPr>
          <w:rFonts w:hint="eastAsia" w:ascii="宋体" w:cs="宋体"/>
          <w:kern w:val="0"/>
          <w:szCs w:val="24"/>
        </w:rPr>
        <w:t>。本层共进行标准贯入试验</w:t>
      </w:r>
      <w:r>
        <w:rPr>
          <w:rFonts w:cs="Times New Roman"/>
          <w:kern w:val="0"/>
          <w:szCs w:val="24"/>
        </w:rPr>
        <w:t>8</w:t>
      </w:r>
      <w:r>
        <w:rPr>
          <w:rFonts w:hint="eastAsia" w:ascii="宋体" w:cs="宋体"/>
          <w:kern w:val="0"/>
          <w:szCs w:val="24"/>
        </w:rPr>
        <w:t>次，实测击数</w:t>
      </w:r>
      <w:r>
        <w:rPr>
          <w:rFonts w:cs="Times New Roman"/>
          <w:kern w:val="0"/>
          <w:szCs w:val="24"/>
        </w:rPr>
        <w:t xml:space="preserve">10~6 </w:t>
      </w:r>
      <w:r>
        <w:rPr>
          <w:rFonts w:hint="eastAsia" w:ascii="宋体" w:cs="宋体"/>
          <w:kern w:val="0"/>
          <w:szCs w:val="24"/>
        </w:rPr>
        <w:t>击，平均</w:t>
      </w:r>
      <w:r>
        <w:rPr>
          <w:rFonts w:cs="Times New Roman"/>
          <w:kern w:val="0"/>
          <w:szCs w:val="24"/>
        </w:rPr>
        <w:t xml:space="preserve">8 </w:t>
      </w:r>
      <w:r>
        <w:rPr>
          <w:rFonts w:hint="eastAsia" w:ascii="宋体" w:cs="宋体"/>
          <w:kern w:val="0"/>
          <w:szCs w:val="24"/>
        </w:rPr>
        <w:t>击，修正击数</w:t>
      </w:r>
      <w:r>
        <w:rPr>
          <w:rFonts w:cs="Times New Roman"/>
          <w:kern w:val="0"/>
          <w:szCs w:val="24"/>
        </w:rPr>
        <w:t xml:space="preserve">10~6 </w:t>
      </w:r>
      <w:r>
        <w:rPr>
          <w:rFonts w:hint="eastAsia" w:ascii="宋体" w:cs="宋体"/>
          <w:kern w:val="0"/>
          <w:szCs w:val="24"/>
        </w:rPr>
        <w:t>击，平均</w:t>
      </w:r>
      <w:r>
        <w:rPr>
          <w:rFonts w:cs="Times New Roman"/>
          <w:kern w:val="0"/>
          <w:szCs w:val="24"/>
        </w:rPr>
        <w:t xml:space="preserve">7.9 </w:t>
      </w:r>
      <w:r>
        <w:rPr>
          <w:rFonts w:hint="eastAsia" w:ascii="宋体" w:cs="宋体"/>
          <w:kern w:val="0"/>
          <w:szCs w:val="24"/>
        </w:rPr>
        <w:t>击。建议承载力特征值经验</w:t>
      </w:r>
      <w:r>
        <w:rPr>
          <w:rFonts w:cs="Times New Roman"/>
          <w:i/>
          <w:iCs/>
          <w:kern w:val="0"/>
          <w:szCs w:val="24"/>
        </w:rPr>
        <w:t>f</w:t>
      </w:r>
      <w:r>
        <w:rPr>
          <w:rFonts w:cs="Times New Roman"/>
          <w:kern w:val="0"/>
          <w:sz w:val="16"/>
          <w:szCs w:val="16"/>
        </w:rPr>
        <w:t>ak</w:t>
      </w:r>
      <w:r>
        <w:rPr>
          <w:rFonts w:cs="Times New Roman"/>
          <w:kern w:val="0"/>
          <w:szCs w:val="24"/>
        </w:rPr>
        <w:t>=80kPa</w:t>
      </w:r>
      <w:r>
        <w:rPr>
          <w:rFonts w:hint="eastAsia" w:ascii="宋体" w:cs="宋体"/>
          <w:kern w:val="0"/>
          <w:szCs w:val="24"/>
        </w:rPr>
        <w:t>。</w:t>
      </w:r>
    </w:p>
    <w:p w14:paraId="69FB11A9">
      <w:pPr>
        <w:autoSpaceDE w:val="0"/>
        <w:autoSpaceDN w:val="0"/>
        <w:adjustRightInd w:val="0"/>
        <w:ind w:firstLine="480"/>
        <w:jc w:val="left"/>
        <w:rPr>
          <w:rFonts w:ascii="宋体" w:cs="宋体"/>
          <w:kern w:val="0"/>
          <w:szCs w:val="24"/>
        </w:rPr>
      </w:pPr>
      <w:r>
        <w:rPr>
          <w:rFonts w:cs="Times New Roman"/>
          <w:kern w:val="0"/>
          <w:szCs w:val="24"/>
        </w:rPr>
        <w:t xml:space="preserve">3.2.2 </w:t>
      </w:r>
      <w:r>
        <w:rPr>
          <w:rFonts w:hint="eastAsia" w:ascii="宋体" w:cs="宋体"/>
          <w:kern w:val="0"/>
          <w:szCs w:val="24"/>
        </w:rPr>
        <w:t>第四系坡积层（</w:t>
      </w:r>
      <w:r>
        <w:rPr>
          <w:rFonts w:cs="Times New Roman"/>
          <w:kern w:val="0"/>
          <w:szCs w:val="24"/>
        </w:rPr>
        <w:t>Q</w:t>
      </w:r>
      <w:r>
        <w:rPr>
          <w:rFonts w:cs="Times New Roman"/>
          <w:kern w:val="0"/>
          <w:sz w:val="16"/>
          <w:szCs w:val="16"/>
        </w:rPr>
        <w:t>4</w:t>
      </w:r>
      <w:r>
        <w:rPr>
          <w:rFonts w:cs="Times New Roman"/>
          <w:kern w:val="0"/>
          <w:sz w:val="22"/>
          <w:vertAlign w:val="superscript"/>
        </w:rPr>
        <w:t>dl</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②</w:t>
      </w:r>
      <w:r>
        <w:rPr>
          <w:rFonts w:cs="Times New Roman"/>
          <w:kern w:val="0"/>
          <w:szCs w:val="24"/>
        </w:rPr>
        <w:t>&gt;</w:t>
      </w:r>
      <w:r>
        <w:rPr>
          <w:rFonts w:hint="eastAsia" w:ascii="宋体" w:cs="宋体"/>
          <w:kern w:val="0"/>
          <w:szCs w:val="24"/>
        </w:rPr>
        <w:t>：</w:t>
      </w:r>
    </w:p>
    <w:p w14:paraId="56775138">
      <w:pPr>
        <w:autoSpaceDE w:val="0"/>
        <w:autoSpaceDN w:val="0"/>
        <w:adjustRightInd w:val="0"/>
        <w:ind w:firstLine="480"/>
        <w:jc w:val="left"/>
        <w:rPr>
          <w:rFonts w:ascii="宋体" w:cs="宋体"/>
          <w:kern w:val="0"/>
          <w:szCs w:val="24"/>
        </w:rPr>
      </w:pPr>
      <w:r>
        <w:rPr>
          <w:rFonts w:hint="eastAsia" w:ascii="宋体" w:cs="宋体"/>
          <w:kern w:val="0"/>
          <w:szCs w:val="24"/>
        </w:rPr>
        <w:t>粉质粘土：褐黄色，可塑，主要由粉、黏粒组成，土质不均，局部夹少量角砾和砂岩岩块，碎石含量为</w:t>
      </w:r>
      <w:r>
        <w:rPr>
          <w:rFonts w:cs="Times New Roman"/>
          <w:kern w:val="0"/>
          <w:szCs w:val="24"/>
        </w:rPr>
        <w:t>40%</w:t>
      </w:r>
      <w:r>
        <w:rPr>
          <w:rFonts w:hint="eastAsia" w:ascii="宋体" w:cs="宋体"/>
          <w:kern w:val="0"/>
          <w:szCs w:val="24"/>
        </w:rPr>
        <w:t>，块经</w:t>
      </w:r>
      <w:r>
        <w:rPr>
          <w:rFonts w:cs="Times New Roman"/>
          <w:kern w:val="0"/>
          <w:szCs w:val="24"/>
        </w:rPr>
        <w:t>2-25cm</w:t>
      </w:r>
      <w:r>
        <w:rPr>
          <w:rFonts w:hint="eastAsia" w:ascii="宋体" w:cs="宋体"/>
          <w:kern w:val="0"/>
          <w:szCs w:val="24"/>
        </w:rPr>
        <w:t>。层厚</w:t>
      </w:r>
      <w:r>
        <w:rPr>
          <w:rFonts w:cs="Times New Roman"/>
          <w:kern w:val="0"/>
          <w:szCs w:val="24"/>
        </w:rPr>
        <w:t>0.70~11.80m</w:t>
      </w:r>
      <w:r>
        <w:rPr>
          <w:rFonts w:hint="eastAsia" w:ascii="宋体" w:cs="宋体"/>
          <w:kern w:val="0"/>
          <w:szCs w:val="24"/>
        </w:rPr>
        <w:t>，平均厚度</w:t>
      </w:r>
      <w:r>
        <w:rPr>
          <w:rFonts w:cs="Times New Roman"/>
          <w:kern w:val="0"/>
          <w:szCs w:val="24"/>
        </w:rPr>
        <w:t>3.94m</w:t>
      </w:r>
      <w:r>
        <w:rPr>
          <w:rFonts w:hint="eastAsia" w:ascii="宋体" w:cs="宋体"/>
          <w:kern w:val="0"/>
          <w:szCs w:val="24"/>
        </w:rPr>
        <w:t>。本层共进行标准贯入试验</w:t>
      </w:r>
      <w:r>
        <w:rPr>
          <w:rFonts w:cs="Times New Roman"/>
          <w:kern w:val="0"/>
          <w:szCs w:val="24"/>
        </w:rPr>
        <w:t xml:space="preserve">29 </w:t>
      </w:r>
      <w:r>
        <w:rPr>
          <w:rFonts w:hint="eastAsia" w:ascii="宋体" w:cs="宋体"/>
          <w:kern w:val="0"/>
          <w:szCs w:val="24"/>
        </w:rPr>
        <w:t>次，实测击数</w:t>
      </w:r>
      <w:r>
        <w:rPr>
          <w:rFonts w:cs="Times New Roman"/>
          <w:kern w:val="0"/>
          <w:szCs w:val="24"/>
        </w:rPr>
        <w:t xml:space="preserve">18~6 </w:t>
      </w:r>
      <w:r>
        <w:rPr>
          <w:rFonts w:hint="eastAsia" w:ascii="宋体" w:cs="宋体"/>
          <w:kern w:val="0"/>
          <w:szCs w:val="24"/>
        </w:rPr>
        <w:t>击，平均</w:t>
      </w:r>
      <w:r>
        <w:rPr>
          <w:rFonts w:cs="Times New Roman"/>
          <w:kern w:val="0"/>
          <w:szCs w:val="24"/>
        </w:rPr>
        <w:t xml:space="preserve">10.7 </w:t>
      </w:r>
      <w:r>
        <w:rPr>
          <w:rFonts w:hint="eastAsia" w:ascii="宋体" w:cs="宋体"/>
          <w:kern w:val="0"/>
          <w:szCs w:val="24"/>
        </w:rPr>
        <w:t>击，修正击数</w:t>
      </w:r>
      <w:r>
        <w:rPr>
          <w:rFonts w:cs="Times New Roman"/>
          <w:kern w:val="0"/>
          <w:szCs w:val="24"/>
        </w:rPr>
        <w:t xml:space="preserve">15.3~5.9 </w:t>
      </w:r>
      <w:r>
        <w:rPr>
          <w:rFonts w:hint="eastAsia" w:ascii="宋体" w:cs="宋体"/>
          <w:kern w:val="0"/>
          <w:szCs w:val="24"/>
        </w:rPr>
        <w:t>击，平均</w:t>
      </w:r>
      <w:r>
        <w:rPr>
          <w:rFonts w:cs="Times New Roman"/>
          <w:kern w:val="0"/>
          <w:szCs w:val="24"/>
        </w:rPr>
        <w:t xml:space="preserve">10.2 </w:t>
      </w:r>
      <w:r>
        <w:rPr>
          <w:rFonts w:hint="eastAsia" w:ascii="宋体" w:cs="宋体"/>
          <w:kern w:val="0"/>
          <w:szCs w:val="24"/>
        </w:rPr>
        <w:t>击。建议承载力特征值经验值</w:t>
      </w:r>
      <w:r>
        <w:rPr>
          <w:rFonts w:cs="Times New Roman"/>
          <w:i/>
          <w:iCs/>
          <w:kern w:val="0"/>
          <w:szCs w:val="24"/>
        </w:rPr>
        <w:t>f</w:t>
      </w:r>
      <w:r>
        <w:rPr>
          <w:rFonts w:cs="Times New Roman"/>
          <w:kern w:val="0"/>
          <w:sz w:val="16"/>
          <w:szCs w:val="16"/>
        </w:rPr>
        <w:t>ak</w:t>
      </w:r>
      <w:r>
        <w:rPr>
          <w:rFonts w:cs="Times New Roman"/>
          <w:kern w:val="0"/>
          <w:szCs w:val="24"/>
        </w:rPr>
        <w:t>=130kPa</w:t>
      </w:r>
      <w:r>
        <w:rPr>
          <w:rFonts w:hint="eastAsia" w:ascii="宋体" w:cs="宋体"/>
          <w:kern w:val="0"/>
          <w:szCs w:val="24"/>
        </w:rPr>
        <w:t>。</w:t>
      </w:r>
    </w:p>
    <w:p w14:paraId="49EEA7D7">
      <w:pPr>
        <w:autoSpaceDE w:val="0"/>
        <w:autoSpaceDN w:val="0"/>
        <w:adjustRightInd w:val="0"/>
        <w:ind w:firstLine="480"/>
        <w:jc w:val="left"/>
        <w:rPr>
          <w:rFonts w:ascii="宋体" w:cs="宋体"/>
          <w:kern w:val="0"/>
          <w:szCs w:val="24"/>
        </w:rPr>
      </w:pPr>
      <w:r>
        <w:rPr>
          <w:rFonts w:cs="Times New Roman"/>
          <w:kern w:val="0"/>
          <w:szCs w:val="24"/>
        </w:rPr>
        <w:t xml:space="preserve">3.2.3 </w:t>
      </w:r>
      <w:r>
        <w:rPr>
          <w:rFonts w:hint="eastAsia" w:ascii="宋体" w:cs="宋体"/>
          <w:kern w:val="0"/>
          <w:szCs w:val="24"/>
        </w:rPr>
        <w:t>第四系残积层（</w:t>
      </w:r>
      <w:r>
        <w:rPr>
          <w:rFonts w:cs="Times New Roman"/>
          <w:kern w:val="0"/>
          <w:szCs w:val="24"/>
        </w:rPr>
        <w:t>Q</w:t>
      </w:r>
      <w:r>
        <w:rPr>
          <w:rFonts w:cs="Times New Roman"/>
          <w:kern w:val="0"/>
          <w:sz w:val="16"/>
          <w:szCs w:val="16"/>
        </w:rPr>
        <w:t>4</w:t>
      </w:r>
      <w:r>
        <w:rPr>
          <w:rFonts w:cs="Times New Roman"/>
          <w:kern w:val="0"/>
          <w:sz w:val="22"/>
          <w:vertAlign w:val="superscript"/>
        </w:rPr>
        <w:t>el</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③</w:t>
      </w:r>
      <w:r>
        <w:rPr>
          <w:rFonts w:cs="Times New Roman"/>
          <w:kern w:val="0"/>
          <w:szCs w:val="24"/>
        </w:rPr>
        <w:t>&gt;</w:t>
      </w:r>
      <w:r>
        <w:rPr>
          <w:rFonts w:hint="eastAsia" w:ascii="宋体" w:cs="宋体"/>
          <w:kern w:val="0"/>
          <w:szCs w:val="24"/>
        </w:rPr>
        <w:t>：</w:t>
      </w:r>
    </w:p>
    <w:p w14:paraId="251BE412">
      <w:pPr>
        <w:autoSpaceDE w:val="0"/>
        <w:autoSpaceDN w:val="0"/>
        <w:adjustRightInd w:val="0"/>
        <w:ind w:firstLine="480"/>
        <w:jc w:val="left"/>
        <w:rPr>
          <w:rFonts w:ascii="宋体" w:cs="宋体"/>
          <w:kern w:val="0"/>
          <w:szCs w:val="24"/>
        </w:rPr>
      </w:pPr>
      <w:r>
        <w:rPr>
          <w:rFonts w:hint="eastAsia" w:ascii="宋体" w:cs="宋体"/>
          <w:kern w:val="0"/>
          <w:szCs w:val="24"/>
        </w:rPr>
        <w:t>粉质粘土：灰黄色，可塑，土质不均匀，为砂岩风化残积土，遇水易软化，崩解。层厚</w:t>
      </w:r>
      <w:r>
        <w:rPr>
          <w:rFonts w:cs="Times New Roman"/>
          <w:kern w:val="0"/>
          <w:szCs w:val="24"/>
        </w:rPr>
        <w:t>0.90~13.40m</w:t>
      </w:r>
      <w:r>
        <w:rPr>
          <w:rFonts w:hint="eastAsia" w:ascii="宋体" w:cs="宋体"/>
          <w:kern w:val="0"/>
          <w:szCs w:val="24"/>
        </w:rPr>
        <w:t>，平均厚度</w:t>
      </w:r>
      <w:r>
        <w:rPr>
          <w:rFonts w:cs="Times New Roman"/>
          <w:kern w:val="0"/>
          <w:szCs w:val="24"/>
        </w:rPr>
        <w:t>4.38m</w:t>
      </w:r>
      <w:r>
        <w:rPr>
          <w:rFonts w:hint="eastAsia" w:ascii="宋体" w:cs="宋体"/>
          <w:kern w:val="0"/>
          <w:szCs w:val="24"/>
        </w:rPr>
        <w:t>。本层取样</w:t>
      </w:r>
      <w:r>
        <w:rPr>
          <w:rFonts w:cs="Times New Roman"/>
          <w:kern w:val="0"/>
          <w:szCs w:val="24"/>
        </w:rPr>
        <w:t xml:space="preserve">7 </w:t>
      </w:r>
      <w:r>
        <w:rPr>
          <w:rFonts w:hint="eastAsia" w:ascii="宋体" w:cs="宋体"/>
          <w:kern w:val="0"/>
          <w:szCs w:val="24"/>
        </w:rPr>
        <w:t>件（详见附表</w:t>
      </w:r>
      <w:r>
        <w:rPr>
          <w:rFonts w:cs="Times New Roman"/>
          <w:kern w:val="0"/>
          <w:szCs w:val="24"/>
        </w:rPr>
        <w:t xml:space="preserve">5 </w:t>
      </w:r>
      <w:r>
        <w:rPr>
          <w:rFonts w:hint="eastAsia" w:ascii="宋体" w:cs="宋体"/>
          <w:kern w:val="0"/>
          <w:szCs w:val="24"/>
        </w:rPr>
        <w:t>及土工试验报告）。本层共进行标准贯入试验</w:t>
      </w:r>
      <w:r>
        <w:rPr>
          <w:rFonts w:cs="Times New Roman"/>
          <w:kern w:val="0"/>
          <w:szCs w:val="24"/>
        </w:rPr>
        <w:t xml:space="preserve">17 </w:t>
      </w:r>
      <w:r>
        <w:rPr>
          <w:rFonts w:hint="eastAsia" w:ascii="宋体" w:cs="宋体"/>
          <w:kern w:val="0"/>
          <w:szCs w:val="24"/>
        </w:rPr>
        <w:t>次，实测击数</w:t>
      </w:r>
      <w:r>
        <w:rPr>
          <w:rFonts w:cs="Times New Roman"/>
          <w:kern w:val="0"/>
          <w:szCs w:val="24"/>
        </w:rPr>
        <w:t xml:space="preserve">22~6 </w:t>
      </w:r>
      <w:r>
        <w:rPr>
          <w:rFonts w:hint="eastAsia" w:ascii="宋体" w:cs="宋体"/>
          <w:kern w:val="0"/>
          <w:szCs w:val="24"/>
        </w:rPr>
        <w:t>击，平均</w:t>
      </w:r>
      <w:r>
        <w:rPr>
          <w:rFonts w:cs="Times New Roman"/>
          <w:kern w:val="0"/>
          <w:szCs w:val="24"/>
        </w:rPr>
        <w:t xml:space="preserve">15.6 </w:t>
      </w:r>
      <w:r>
        <w:rPr>
          <w:rFonts w:hint="eastAsia" w:ascii="宋体" w:cs="宋体"/>
          <w:kern w:val="0"/>
          <w:szCs w:val="24"/>
        </w:rPr>
        <w:t>击，修正击数</w:t>
      </w:r>
      <w:r>
        <w:rPr>
          <w:rFonts w:cs="Times New Roman"/>
          <w:kern w:val="0"/>
          <w:szCs w:val="24"/>
        </w:rPr>
        <w:t xml:space="preserve">19.9~5.8 </w:t>
      </w:r>
      <w:r>
        <w:rPr>
          <w:rFonts w:hint="eastAsia" w:ascii="宋体" w:cs="宋体"/>
          <w:kern w:val="0"/>
          <w:szCs w:val="24"/>
        </w:rPr>
        <w:t>击，平均</w:t>
      </w:r>
      <w:r>
        <w:rPr>
          <w:rFonts w:cs="Times New Roman"/>
          <w:kern w:val="0"/>
          <w:szCs w:val="24"/>
        </w:rPr>
        <w:t>13.2</w:t>
      </w:r>
      <w:r>
        <w:rPr>
          <w:rFonts w:hint="eastAsia" w:ascii="宋体" w:cs="宋体"/>
          <w:kern w:val="0"/>
          <w:szCs w:val="24"/>
        </w:rPr>
        <w:t>击。建议承载力特征值经验值</w:t>
      </w:r>
      <w:r>
        <w:rPr>
          <w:rFonts w:cs="Times New Roman"/>
          <w:i/>
          <w:iCs/>
          <w:kern w:val="0"/>
          <w:szCs w:val="24"/>
        </w:rPr>
        <w:t>f</w:t>
      </w:r>
      <w:r>
        <w:rPr>
          <w:rFonts w:cs="Times New Roman"/>
          <w:kern w:val="0"/>
          <w:sz w:val="16"/>
          <w:szCs w:val="16"/>
        </w:rPr>
        <w:t>ak</w:t>
      </w:r>
      <w:r>
        <w:rPr>
          <w:rFonts w:cs="Times New Roman"/>
          <w:kern w:val="0"/>
          <w:szCs w:val="24"/>
        </w:rPr>
        <w:t>=130kPa</w:t>
      </w:r>
      <w:r>
        <w:rPr>
          <w:rFonts w:hint="eastAsia" w:ascii="宋体" w:cs="宋体"/>
          <w:kern w:val="0"/>
          <w:szCs w:val="24"/>
        </w:rPr>
        <w:t>。</w:t>
      </w:r>
    </w:p>
    <w:p w14:paraId="28B5B566">
      <w:pPr>
        <w:autoSpaceDE w:val="0"/>
        <w:autoSpaceDN w:val="0"/>
        <w:adjustRightInd w:val="0"/>
        <w:ind w:firstLine="480"/>
        <w:jc w:val="left"/>
        <w:rPr>
          <w:rFonts w:ascii="宋体" w:cs="宋体"/>
          <w:kern w:val="0"/>
          <w:szCs w:val="24"/>
        </w:rPr>
      </w:pPr>
      <w:r>
        <w:rPr>
          <w:rFonts w:cs="Times New Roman"/>
          <w:kern w:val="0"/>
          <w:szCs w:val="24"/>
        </w:rPr>
        <w:t xml:space="preserve">3.2.4 </w:t>
      </w:r>
      <w:r>
        <w:rPr>
          <w:rFonts w:hint="eastAsia" w:ascii="宋体" w:cs="宋体"/>
          <w:kern w:val="0"/>
          <w:szCs w:val="24"/>
        </w:rPr>
        <w:t>石炭系砂岩（</w:t>
      </w:r>
      <w:r>
        <w:rPr>
          <w:rFonts w:cs="Times New Roman"/>
          <w:kern w:val="0"/>
          <w:szCs w:val="24"/>
        </w:rPr>
        <w:t>C</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④</w:t>
      </w:r>
      <w:r>
        <w:rPr>
          <w:rFonts w:cs="Times New Roman"/>
          <w:kern w:val="0"/>
          <w:szCs w:val="24"/>
        </w:rPr>
        <w:t>&gt;</w:t>
      </w:r>
      <w:r>
        <w:rPr>
          <w:rFonts w:hint="eastAsia" w:ascii="宋体" w:cs="宋体"/>
          <w:kern w:val="0"/>
          <w:szCs w:val="24"/>
        </w:rPr>
        <w:t>：</w:t>
      </w:r>
    </w:p>
    <w:p w14:paraId="32C8241D">
      <w:pPr>
        <w:autoSpaceDE w:val="0"/>
        <w:autoSpaceDN w:val="0"/>
        <w:adjustRightInd w:val="0"/>
        <w:ind w:firstLine="480"/>
        <w:jc w:val="left"/>
        <w:rPr>
          <w:rFonts w:ascii="宋体" w:cs="宋体"/>
          <w:kern w:val="0"/>
          <w:szCs w:val="24"/>
        </w:rPr>
      </w:pPr>
      <w:r>
        <w:rPr>
          <w:rFonts w:hint="eastAsia" w:ascii="宋体" w:cs="宋体"/>
          <w:kern w:val="0"/>
          <w:szCs w:val="24"/>
        </w:rPr>
        <w:t>④</w:t>
      </w:r>
      <w:r>
        <w:rPr>
          <w:rFonts w:cs="Times New Roman"/>
          <w:kern w:val="0"/>
          <w:sz w:val="16"/>
          <w:szCs w:val="16"/>
        </w:rPr>
        <w:t xml:space="preserve">1 </w:t>
      </w:r>
      <w:r>
        <w:rPr>
          <w:rFonts w:hint="eastAsia" w:ascii="宋体" w:cs="宋体"/>
          <w:kern w:val="0"/>
          <w:szCs w:val="24"/>
        </w:rPr>
        <w:t>全风化砂岩：红褐色、黄褐色，主要矿物为石英、长石，原岩结构尚可辨认，岩芯以坚硬土柱状为主，局部可见少量碎屑状强风化原岩碎块，碎块裂隙极发育，强度很低，易折断。层厚</w:t>
      </w:r>
      <w:r>
        <w:rPr>
          <w:rFonts w:cs="Times New Roman"/>
          <w:kern w:val="0"/>
          <w:szCs w:val="24"/>
        </w:rPr>
        <w:t>1.30~19.20m</w:t>
      </w:r>
      <w:r>
        <w:rPr>
          <w:rFonts w:hint="eastAsia" w:ascii="宋体" w:cs="宋体"/>
          <w:kern w:val="0"/>
          <w:szCs w:val="24"/>
        </w:rPr>
        <w:t>，平均厚度</w:t>
      </w:r>
      <w:r>
        <w:rPr>
          <w:rFonts w:cs="Times New Roman"/>
          <w:kern w:val="0"/>
          <w:szCs w:val="24"/>
        </w:rPr>
        <w:t>5.73m</w:t>
      </w:r>
      <w:r>
        <w:rPr>
          <w:rFonts w:hint="eastAsia" w:ascii="宋体" w:cs="宋体"/>
          <w:kern w:val="0"/>
          <w:szCs w:val="24"/>
        </w:rPr>
        <w:t>。本层共进行标准贯入试验</w:t>
      </w:r>
      <w:r>
        <w:rPr>
          <w:rFonts w:cs="Times New Roman"/>
          <w:kern w:val="0"/>
          <w:szCs w:val="24"/>
        </w:rPr>
        <w:t xml:space="preserve">18 </w:t>
      </w:r>
      <w:r>
        <w:rPr>
          <w:rFonts w:hint="eastAsia" w:ascii="宋体" w:cs="宋体"/>
          <w:kern w:val="0"/>
          <w:szCs w:val="24"/>
        </w:rPr>
        <w:t>次，实测击数</w:t>
      </w:r>
      <w:r>
        <w:rPr>
          <w:rFonts w:cs="Times New Roman"/>
          <w:kern w:val="0"/>
          <w:szCs w:val="24"/>
        </w:rPr>
        <w:t xml:space="preserve">46~12 </w:t>
      </w:r>
      <w:r>
        <w:rPr>
          <w:rFonts w:hint="eastAsia" w:ascii="宋体" w:cs="宋体"/>
          <w:kern w:val="0"/>
          <w:szCs w:val="24"/>
        </w:rPr>
        <w:t>击，平均</w:t>
      </w:r>
      <w:r>
        <w:rPr>
          <w:rFonts w:cs="Times New Roman"/>
          <w:kern w:val="0"/>
          <w:szCs w:val="24"/>
        </w:rPr>
        <w:t xml:space="preserve">34.7 </w:t>
      </w:r>
      <w:r>
        <w:rPr>
          <w:rFonts w:hint="eastAsia" w:ascii="宋体" w:cs="宋体"/>
          <w:kern w:val="0"/>
          <w:szCs w:val="24"/>
        </w:rPr>
        <w:t>击，修正击数</w:t>
      </w:r>
      <w:r>
        <w:rPr>
          <w:rFonts w:cs="Times New Roman"/>
          <w:kern w:val="0"/>
          <w:szCs w:val="24"/>
        </w:rPr>
        <w:t xml:space="preserve">37~11.7 </w:t>
      </w:r>
      <w:r>
        <w:rPr>
          <w:rFonts w:hint="eastAsia" w:ascii="宋体" w:cs="宋体"/>
          <w:kern w:val="0"/>
          <w:szCs w:val="24"/>
        </w:rPr>
        <w:t>击，平均</w:t>
      </w:r>
      <w:r>
        <w:rPr>
          <w:rFonts w:cs="Times New Roman"/>
          <w:kern w:val="0"/>
          <w:szCs w:val="24"/>
        </w:rPr>
        <w:t xml:space="preserve">29.4 </w:t>
      </w:r>
      <w:r>
        <w:rPr>
          <w:rFonts w:hint="eastAsia" w:ascii="宋体" w:cs="宋体"/>
          <w:kern w:val="0"/>
          <w:szCs w:val="24"/>
        </w:rPr>
        <w:t>击。建议承载力特征值经验值</w:t>
      </w:r>
      <w:r>
        <w:rPr>
          <w:rFonts w:cs="Times New Roman"/>
          <w:i/>
          <w:iCs/>
          <w:kern w:val="0"/>
          <w:szCs w:val="24"/>
        </w:rPr>
        <w:t>f</w:t>
      </w:r>
      <w:r>
        <w:rPr>
          <w:rFonts w:cs="Times New Roman"/>
          <w:kern w:val="0"/>
          <w:sz w:val="16"/>
          <w:szCs w:val="16"/>
        </w:rPr>
        <w:t>ak</w:t>
      </w:r>
      <w:r>
        <w:rPr>
          <w:rFonts w:cs="Times New Roman"/>
          <w:kern w:val="0"/>
          <w:szCs w:val="24"/>
        </w:rPr>
        <w:t>=250kPa</w:t>
      </w:r>
      <w:r>
        <w:rPr>
          <w:rFonts w:hint="eastAsia" w:ascii="宋体" w:cs="宋体"/>
          <w:kern w:val="0"/>
          <w:szCs w:val="24"/>
        </w:rPr>
        <w:t>。</w:t>
      </w:r>
    </w:p>
    <w:p w14:paraId="334E86FF">
      <w:pPr>
        <w:autoSpaceDE w:val="0"/>
        <w:autoSpaceDN w:val="0"/>
        <w:adjustRightInd w:val="0"/>
        <w:ind w:firstLine="480"/>
        <w:jc w:val="left"/>
        <w:rPr>
          <w:rFonts w:ascii="宋体" w:cs="宋体"/>
          <w:kern w:val="0"/>
          <w:szCs w:val="24"/>
        </w:rPr>
      </w:pPr>
      <w:r>
        <w:rPr>
          <w:rFonts w:hint="eastAsia" w:ascii="宋体" w:cs="宋体"/>
          <w:kern w:val="0"/>
          <w:szCs w:val="24"/>
        </w:rPr>
        <w:t>④</w:t>
      </w:r>
      <w:r>
        <w:rPr>
          <w:rFonts w:cs="Times New Roman"/>
          <w:kern w:val="0"/>
          <w:sz w:val="16"/>
          <w:szCs w:val="16"/>
        </w:rPr>
        <w:t xml:space="preserve">2 </w:t>
      </w:r>
      <w:r>
        <w:rPr>
          <w:rFonts w:hint="eastAsia" w:ascii="宋体" w:cs="宋体"/>
          <w:kern w:val="0"/>
          <w:szCs w:val="24"/>
        </w:rPr>
        <w:t>强风化砂岩：褐色、黄褐色，厚层状构造，中～细粒砂质结构，颗粒矿物成分主要是石英、长石等；岩体节理裂隙发育，裂隙面可见，上段部分岩芯以砂土状为主，下段岩芯以碎屑状、碎块状为主，局部呈短柱状，用手可折断，节长约</w:t>
      </w:r>
      <w:r>
        <w:rPr>
          <w:rFonts w:cs="Times New Roman"/>
          <w:kern w:val="0"/>
          <w:szCs w:val="24"/>
        </w:rPr>
        <w:t>5-15cm</w:t>
      </w:r>
      <w:r>
        <w:rPr>
          <w:rFonts w:hint="eastAsia" w:ascii="宋体" w:cs="宋体"/>
          <w:kern w:val="0"/>
          <w:szCs w:val="24"/>
        </w:rPr>
        <w:t>。层厚</w:t>
      </w:r>
      <w:r>
        <w:rPr>
          <w:rFonts w:cs="Times New Roman"/>
          <w:kern w:val="0"/>
          <w:szCs w:val="24"/>
        </w:rPr>
        <w:t>0.30~41.00m</w:t>
      </w:r>
      <w:r>
        <w:rPr>
          <w:rFonts w:hint="eastAsia" w:ascii="宋体" w:cs="宋体"/>
          <w:kern w:val="0"/>
          <w:szCs w:val="24"/>
        </w:rPr>
        <w:t>，平均厚度</w:t>
      </w:r>
      <w:r>
        <w:rPr>
          <w:rFonts w:cs="Times New Roman"/>
          <w:kern w:val="0"/>
          <w:szCs w:val="24"/>
        </w:rPr>
        <w:t>8.40m</w:t>
      </w:r>
      <w:r>
        <w:rPr>
          <w:rFonts w:hint="eastAsia" w:ascii="宋体" w:cs="宋体"/>
          <w:kern w:val="0"/>
          <w:szCs w:val="24"/>
        </w:rPr>
        <w:t>。本层共进行标准贯入试验</w:t>
      </w:r>
      <w:r>
        <w:rPr>
          <w:rFonts w:cs="Times New Roman"/>
          <w:kern w:val="0"/>
          <w:szCs w:val="24"/>
        </w:rPr>
        <w:t xml:space="preserve">26 </w:t>
      </w:r>
      <w:r>
        <w:rPr>
          <w:rFonts w:hint="eastAsia" w:ascii="宋体" w:cs="宋体"/>
          <w:kern w:val="0"/>
          <w:szCs w:val="24"/>
        </w:rPr>
        <w:t>次，实测击数</w:t>
      </w:r>
      <w:r>
        <w:rPr>
          <w:rFonts w:cs="Times New Roman"/>
          <w:kern w:val="0"/>
          <w:szCs w:val="24"/>
        </w:rPr>
        <w:t>110~53</w:t>
      </w:r>
      <w:r>
        <w:rPr>
          <w:rFonts w:hint="eastAsia" w:ascii="宋体" w:cs="宋体"/>
          <w:kern w:val="0"/>
          <w:szCs w:val="24"/>
        </w:rPr>
        <w:t>击，平均</w:t>
      </w:r>
      <w:r>
        <w:rPr>
          <w:rFonts w:cs="Times New Roman"/>
          <w:kern w:val="0"/>
          <w:szCs w:val="24"/>
        </w:rPr>
        <w:t xml:space="preserve">63.2 </w:t>
      </w:r>
      <w:r>
        <w:rPr>
          <w:rFonts w:hint="eastAsia" w:ascii="宋体" w:cs="宋体"/>
          <w:kern w:val="0"/>
          <w:szCs w:val="24"/>
        </w:rPr>
        <w:t>击，修正击</w:t>
      </w:r>
      <w:r>
        <w:rPr>
          <w:rFonts w:cs="Times New Roman"/>
          <w:kern w:val="0"/>
          <w:szCs w:val="24"/>
        </w:rPr>
        <w:t xml:space="preserve">77~38.5 </w:t>
      </w:r>
      <w:r>
        <w:rPr>
          <w:rFonts w:hint="eastAsia" w:ascii="宋体" w:cs="宋体"/>
          <w:kern w:val="0"/>
          <w:szCs w:val="24"/>
        </w:rPr>
        <w:t>击，平均</w:t>
      </w:r>
      <w:r>
        <w:rPr>
          <w:rFonts w:cs="Times New Roman"/>
          <w:kern w:val="0"/>
          <w:szCs w:val="24"/>
        </w:rPr>
        <w:t xml:space="preserve">51.3 </w:t>
      </w:r>
      <w:r>
        <w:rPr>
          <w:rFonts w:hint="eastAsia" w:ascii="宋体" w:cs="宋体"/>
          <w:kern w:val="0"/>
          <w:szCs w:val="24"/>
        </w:rPr>
        <w:t>击。建议承载力特征值经验值</w:t>
      </w:r>
      <w:r>
        <w:rPr>
          <w:rFonts w:cs="Times New Roman"/>
          <w:i/>
          <w:iCs/>
          <w:kern w:val="0"/>
          <w:szCs w:val="24"/>
        </w:rPr>
        <w:t>f</w:t>
      </w:r>
      <w:r>
        <w:rPr>
          <w:rFonts w:cs="Times New Roman"/>
          <w:kern w:val="0"/>
          <w:sz w:val="16"/>
          <w:szCs w:val="16"/>
        </w:rPr>
        <w:t>ak</w:t>
      </w:r>
      <w:r>
        <w:rPr>
          <w:rFonts w:cs="Times New Roman"/>
          <w:kern w:val="0"/>
          <w:szCs w:val="24"/>
        </w:rPr>
        <w:t>=300kPa</w:t>
      </w:r>
      <w:r>
        <w:rPr>
          <w:rFonts w:hint="eastAsia" w:ascii="宋体" w:cs="宋体"/>
          <w:kern w:val="0"/>
          <w:szCs w:val="24"/>
        </w:rPr>
        <w:t>。</w:t>
      </w:r>
    </w:p>
    <w:p w14:paraId="0E2F002F">
      <w:pPr>
        <w:autoSpaceDE w:val="0"/>
        <w:autoSpaceDN w:val="0"/>
        <w:adjustRightInd w:val="0"/>
        <w:ind w:firstLine="480"/>
        <w:jc w:val="left"/>
        <w:rPr>
          <w:rFonts w:ascii="宋体" w:cs="宋体"/>
          <w:kern w:val="0"/>
          <w:szCs w:val="24"/>
        </w:rPr>
      </w:pPr>
      <w:r>
        <w:rPr>
          <w:rFonts w:hint="eastAsia" w:ascii="宋体" w:cs="宋体"/>
          <w:kern w:val="0"/>
          <w:szCs w:val="24"/>
        </w:rPr>
        <w:t>④</w:t>
      </w:r>
      <w:r>
        <w:rPr>
          <w:rFonts w:cs="Times New Roman"/>
          <w:kern w:val="0"/>
          <w:sz w:val="16"/>
          <w:szCs w:val="16"/>
        </w:rPr>
        <w:t xml:space="preserve">3 </w:t>
      </w:r>
      <w:r>
        <w:rPr>
          <w:rFonts w:hint="eastAsia" w:ascii="宋体" w:cs="宋体"/>
          <w:kern w:val="0"/>
          <w:szCs w:val="24"/>
        </w:rPr>
        <w:t>中风化砂岩：红褐色、黄褐色，厚层状构造，中～细粒砂质结构，颗粒矿物成分主要是石英、长石等；岩体节理裂隙发育，岩质较新鲜，节理裂隙较发育，岩芯多呈短柱状及长柱状，局部呈块状，节长</w:t>
      </w:r>
      <w:r>
        <w:rPr>
          <w:rFonts w:cs="Times New Roman"/>
          <w:kern w:val="0"/>
          <w:szCs w:val="24"/>
        </w:rPr>
        <w:t>10-30cm</w:t>
      </w:r>
      <w:r>
        <w:rPr>
          <w:rFonts w:hint="eastAsia" w:ascii="宋体" w:cs="宋体"/>
          <w:kern w:val="0"/>
          <w:szCs w:val="24"/>
        </w:rPr>
        <w:t>。层厚</w:t>
      </w:r>
      <w:r>
        <w:rPr>
          <w:rFonts w:cs="Times New Roman"/>
          <w:kern w:val="0"/>
          <w:szCs w:val="24"/>
        </w:rPr>
        <w:t>1.50~16.40m</w:t>
      </w:r>
      <w:r>
        <w:rPr>
          <w:rFonts w:hint="eastAsia" w:ascii="宋体" w:cs="宋体"/>
          <w:kern w:val="0"/>
          <w:szCs w:val="24"/>
        </w:rPr>
        <w:t>，平均厚度</w:t>
      </w:r>
      <w:r>
        <w:rPr>
          <w:rFonts w:cs="Times New Roman"/>
          <w:kern w:val="0"/>
          <w:szCs w:val="24"/>
        </w:rPr>
        <w:t>5.78m</w:t>
      </w:r>
      <w:r>
        <w:rPr>
          <w:rFonts w:hint="eastAsia" w:ascii="宋体" w:cs="宋体"/>
          <w:kern w:val="0"/>
          <w:szCs w:val="24"/>
        </w:rPr>
        <w:t>。本层取岩样</w:t>
      </w:r>
      <w:r>
        <w:rPr>
          <w:rFonts w:cs="Times New Roman"/>
          <w:kern w:val="0"/>
          <w:szCs w:val="24"/>
        </w:rPr>
        <w:t xml:space="preserve">6 </w:t>
      </w:r>
      <w:r>
        <w:rPr>
          <w:rFonts w:hint="eastAsia" w:ascii="宋体" w:cs="宋体"/>
          <w:kern w:val="0"/>
          <w:szCs w:val="24"/>
        </w:rPr>
        <w:t>组，进行天然状态单轴抗压强度试验，抗压强度为</w:t>
      </w:r>
      <w:r>
        <w:rPr>
          <w:rFonts w:cs="Times New Roman"/>
          <w:kern w:val="0"/>
          <w:szCs w:val="24"/>
        </w:rPr>
        <w:t>6.31~26.4</w:t>
      </w:r>
      <w:r>
        <w:rPr>
          <w:rFonts w:cs="Times New Roman"/>
          <w:i/>
          <w:iCs/>
          <w:kern w:val="0"/>
          <w:szCs w:val="24"/>
        </w:rPr>
        <w:t>Mpa</w:t>
      </w:r>
      <w:r>
        <w:rPr>
          <w:rFonts w:hint="eastAsia" w:ascii="宋体" w:cs="宋体"/>
          <w:kern w:val="0"/>
          <w:szCs w:val="24"/>
        </w:rPr>
        <w:t>，平均值</w:t>
      </w:r>
      <w:r>
        <w:rPr>
          <w:rFonts w:cs="Times New Roman"/>
          <w:kern w:val="0"/>
          <w:szCs w:val="24"/>
        </w:rPr>
        <w:t>11.5</w:t>
      </w:r>
      <w:r>
        <w:rPr>
          <w:rFonts w:cs="Times New Roman"/>
          <w:i/>
          <w:iCs/>
          <w:kern w:val="0"/>
          <w:szCs w:val="24"/>
        </w:rPr>
        <w:t>Mpa</w:t>
      </w:r>
      <w:r>
        <w:rPr>
          <w:rFonts w:hint="eastAsia" w:ascii="宋体" w:cs="宋体"/>
          <w:kern w:val="0"/>
          <w:szCs w:val="24"/>
        </w:rPr>
        <w:t>，标准值</w:t>
      </w:r>
      <w:r>
        <w:rPr>
          <w:rFonts w:cs="Times New Roman"/>
          <w:kern w:val="0"/>
          <w:szCs w:val="24"/>
        </w:rPr>
        <w:t>5.32</w:t>
      </w:r>
      <w:r>
        <w:rPr>
          <w:rFonts w:cs="Times New Roman"/>
          <w:i/>
          <w:iCs/>
          <w:kern w:val="0"/>
          <w:szCs w:val="24"/>
        </w:rPr>
        <w:t>Mpa</w:t>
      </w:r>
      <w:r>
        <w:rPr>
          <w:rFonts w:hint="eastAsia" w:ascii="宋体" w:cs="宋体"/>
          <w:kern w:val="0"/>
          <w:sz w:val="28"/>
          <w:szCs w:val="28"/>
        </w:rPr>
        <w:t>，</w:t>
      </w:r>
      <w:r>
        <w:rPr>
          <w:rFonts w:hint="eastAsia" w:ascii="宋体" w:cs="宋体"/>
          <w:kern w:val="0"/>
          <w:szCs w:val="24"/>
        </w:rPr>
        <w:t>属于软岩，岩体较破碎</w:t>
      </w:r>
      <w:r>
        <w:rPr>
          <w:rFonts w:cs="Times New Roman"/>
          <w:kern w:val="0"/>
          <w:szCs w:val="24"/>
        </w:rPr>
        <w:t>~</w:t>
      </w:r>
      <w:r>
        <w:rPr>
          <w:rFonts w:hint="eastAsia" w:ascii="宋体" w:cs="宋体"/>
          <w:kern w:val="0"/>
          <w:szCs w:val="24"/>
        </w:rPr>
        <w:t>较完整，岩体基本质量等级为Ⅳ</w:t>
      </w:r>
      <w:r>
        <w:rPr>
          <w:rFonts w:cs="Times New Roman"/>
          <w:kern w:val="0"/>
          <w:szCs w:val="24"/>
        </w:rPr>
        <w:t>~</w:t>
      </w:r>
      <w:r>
        <w:rPr>
          <w:rFonts w:hint="eastAsia" w:ascii="宋体" w:cs="宋体"/>
          <w:kern w:val="0"/>
          <w:szCs w:val="24"/>
        </w:rPr>
        <w:t>Ⅴ类。建议承载力特征值经验值</w:t>
      </w:r>
      <w:r>
        <w:rPr>
          <w:rFonts w:cs="Times New Roman"/>
          <w:i/>
          <w:iCs/>
          <w:kern w:val="0"/>
          <w:szCs w:val="24"/>
        </w:rPr>
        <w:t>f</w:t>
      </w:r>
      <w:r>
        <w:rPr>
          <w:rFonts w:cs="Times New Roman"/>
          <w:kern w:val="0"/>
          <w:sz w:val="16"/>
          <w:szCs w:val="16"/>
        </w:rPr>
        <w:t>a</w:t>
      </w:r>
      <w:r>
        <w:rPr>
          <w:rFonts w:cs="Times New Roman"/>
          <w:kern w:val="0"/>
          <w:szCs w:val="24"/>
        </w:rPr>
        <w:t>=1500kPa</w:t>
      </w:r>
      <w:r>
        <w:rPr>
          <w:rFonts w:hint="eastAsia" w:ascii="宋体" w:cs="宋体"/>
          <w:kern w:val="0"/>
          <w:szCs w:val="24"/>
        </w:rPr>
        <w:t>。</w:t>
      </w:r>
    </w:p>
    <w:p w14:paraId="42D53F0C">
      <w:pPr>
        <w:autoSpaceDE w:val="0"/>
        <w:autoSpaceDN w:val="0"/>
        <w:adjustRightInd w:val="0"/>
        <w:ind w:firstLine="480"/>
        <w:jc w:val="left"/>
        <w:rPr>
          <w:rFonts w:ascii="宋体" w:cs="宋体"/>
          <w:kern w:val="0"/>
          <w:szCs w:val="24"/>
        </w:rPr>
      </w:pPr>
      <w:r>
        <w:rPr>
          <w:rFonts w:cs="Times New Roman"/>
          <w:kern w:val="0"/>
          <w:szCs w:val="24"/>
        </w:rPr>
        <w:t xml:space="preserve">3.2.5 </w:t>
      </w:r>
      <w:r>
        <w:rPr>
          <w:rFonts w:hint="eastAsia" w:ascii="宋体" w:cs="宋体"/>
          <w:kern w:val="0"/>
          <w:szCs w:val="24"/>
        </w:rPr>
        <w:t>石炭系炭质页岩（</w:t>
      </w:r>
      <w:r>
        <w:rPr>
          <w:rFonts w:cs="Times New Roman"/>
          <w:kern w:val="0"/>
          <w:szCs w:val="24"/>
        </w:rPr>
        <w:t>C</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⑤</w:t>
      </w:r>
      <w:r>
        <w:rPr>
          <w:rFonts w:cs="Times New Roman"/>
          <w:kern w:val="0"/>
          <w:szCs w:val="24"/>
        </w:rPr>
        <w:t>&gt;</w:t>
      </w:r>
      <w:r>
        <w:rPr>
          <w:rFonts w:hint="eastAsia" w:ascii="宋体" w:cs="宋体"/>
          <w:kern w:val="0"/>
          <w:szCs w:val="24"/>
        </w:rPr>
        <w:t>：</w:t>
      </w:r>
    </w:p>
    <w:p w14:paraId="64F8E6A2">
      <w:pPr>
        <w:autoSpaceDE w:val="0"/>
        <w:autoSpaceDN w:val="0"/>
        <w:adjustRightInd w:val="0"/>
        <w:ind w:firstLine="480"/>
        <w:jc w:val="left"/>
        <w:rPr>
          <w:rFonts w:ascii="宋体" w:cs="宋体"/>
          <w:kern w:val="0"/>
          <w:szCs w:val="24"/>
        </w:rPr>
      </w:pPr>
      <w:r>
        <w:rPr>
          <w:rFonts w:hint="eastAsia" w:ascii="宋体" w:cs="宋体"/>
          <w:kern w:val="0"/>
          <w:szCs w:val="24"/>
        </w:rPr>
        <w:t>⑤</w:t>
      </w:r>
      <w:r>
        <w:rPr>
          <w:rFonts w:cs="Times New Roman"/>
          <w:kern w:val="0"/>
          <w:sz w:val="16"/>
          <w:szCs w:val="16"/>
        </w:rPr>
        <w:t xml:space="preserve">1 </w:t>
      </w:r>
      <w:r>
        <w:rPr>
          <w:rFonts w:hint="eastAsia" w:ascii="宋体" w:cs="宋体"/>
          <w:kern w:val="0"/>
          <w:szCs w:val="24"/>
        </w:rPr>
        <w:t>强风化炭质页岩：浅灰色、灰黑色，薄层状及片状构造，泥质结构，岩体节理裂隙发育，经机械破碎呈碎块状及岩夹土状，锤击易碎，手可掰断，可污手，节长一般</w:t>
      </w:r>
      <w:r>
        <w:rPr>
          <w:rFonts w:cs="Times New Roman"/>
          <w:kern w:val="0"/>
          <w:szCs w:val="24"/>
        </w:rPr>
        <w:t>2-10cm</w:t>
      </w:r>
      <w:r>
        <w:rPr>
          <w:rFonts w:hint="eastAsia" w:ascii="宋体" w:cs="宋体"/>
          <w:kern w:val="0"/>
          <w:szCs w:val="24"/>
        </w:rPr>
        <w:t>，最大达</w:t>
      </w:r>
      <w:r>
        <w:rPr>
          <w:rFonts w:cs="Times New Roman"/>
          <w:kern w:val="0"/>
          <w:szCs w:val="24"/>
        </w:rPr>
        <w:t>20cm</w:t>
      </w:r>
      <w:r>
        <w:rPr>
          <w:rFonts w:hint="eastAsia" w:ascii="宋体" w:cs="宋体"/>
          <w:kern w:val="0"/>
          <w:szCs w:val="24"/>
        </w:rPr>
        <w:t>，局部夹中风化炭质页岩。层厚</w:t>
      </w:r>
      <w:r>
        <w:rPr>
          <w:rFonts w:cs="Times New Roman"/>
          <w:kern w:val="0"/>
          <w:szCs w:val="24"/>
        </w:rPr>
        <w:t>0.50~38.00m</w:t>
      </w:r>
      <w:r>
        <w:rPr>
          <w:rFonts w:hint="eastAsia" w:ascii="宋体" w:cs="宋体"/>
          <w:kern w:val="0"/>
          <w:szCs w:val="24"/>
        </w:rPr>
        <w:t>，平均厚度</w:t>
      </w:r>
      <w:r>
        <w:rPr>
          <w:rFonts w:cs="Times New Roman"/>
          <w:kern w:val="0"/>
          <w:szCs w:val="24"/>
        </w:rPr>
        <w:t>8.34m</w:t>
      </w:r>
      <w:r>
        <w:rPr>
          <w:rFonts w:hint="eastAsia" w:ascii="宋体" w:cs="宋体"/>
          <w:kern w:val="0"/>
          <w:szCs w:val="24"/>
        </w:rPr>
        <w:t>。本层共进行标准贯入试验</w:t>
      </w:r>
      <w:r>
        <w:rPr>
          <w:rFonts w:cs="Times New Roman"/>
          <w:kern w:val="0"/>
          <w:szCs w:val="24"/>
        </w:rPr>
        <w:t xml:space="preserve">26 </w:t>
      </w:r>
      <w:r>
        <w:rPr>
          <w:rFonts w:hint="eastAsia" w:ascii="宋体" w:cs="宋体"/>
          <w:kern w:val="0"/>
          <w:szCs w:val="24"/>
        </w:rPr>
        <w:t>次，实测击数</w:t>
      </w:r>
      <w:r>
        <w:rPr>
          <w:rFonts w:cs="Times New Roman"/>
          <w:kern w:val="0"/>
          <w:szCs w:val="24"/>
        </w:rPr>
        <w:t xml:space="preserve">82~52 </w:t>
      </w:r>
      <w:r>
        <w:rPr>
          <w:rFonts w:hint="eastAsia" w:ascii="宋体" w:cs="宋体"/>
          <w:kern w:val="0"/>
          <w:szCs w:val="24"/>
        </w:rPr>
        <w:t>击，平均</w:t>
      </w:r>
      <w:r>
        <w:rPr>
          <w:rFonts w:cs="Times New Roman"/>
          <w:kern w:val="0"/>
          <w:szCs w:val="24"/>
        </w:rPr>
        <w:t xml:space="preserve">65.2 </w:t>
      </w:r>
      <w:r>
        <w:rPr>
          <w:rFonts w:hint="eastAsia" w:ascii="宋体" w:cs="宋体"/>
          <w:kern w:val="0"/>
          <w:szCs w:val="24"/>
        </w:rPr>
        <w:t>击，修正击数</w:t>
      </w:r>
      <w:r>
        <w:rPr>
          <w:rFonts w:cs="Times New Roman"/>
          <w:kern w:val="0"/>
          <w:szCs w:val="24"/>
        </w:rPr>
        <w:t xml:space="preserve">69.4~37.6 </w:t>
      </w:r>
      <w:r>
        <w:rPr>
          <w:rFonts w:hint="eastAsia" w:ascii="宋体" w:cs="宋体"/>
          <w:kern w:val="0"/>
          <w:szCs w:val="24"/>
        </w:rPr>
        <w:t>击，平均</w:t>
      </w:r>
      <w:r>
        <w:rPr>
          <w:rFonts w:cs="Times New Roman"/>
          <w:kern w:val="0"/>
          <w:szCs w:val="24"/>
        </w:rPr>
        <w:t xml:space="preserve">51.2 </w:t>
      </w:r>
      <w:r>
        <w:rPr>
          <w:rFonts w:hint="eastAsia" w:ascii="宋体" w:cs="宋体"/>
          <w:kern w:val="0"/>
          <w:szCs w:val="24"/>
        </w:rPr>
        <w:t>击。</w:t>
      </w:r>
    </w:p>
    <w:p w14:paraId="03F92A79">
      <w:pPr>
        <w:autoSpaceDE w:val="0"/>
        <w:autoSpaceDN w:val="0"/>
        <w:adjustRightInd w:val="0"/>
        <w:ind w:firstLine="480"/>
        <w:jc w:val="left"/>
        <w:rPr>
          <w:rFonts w:ascii="宋体" w:cs="宋体"/>
          <w:kern w:val="0"/>
          <w:szCs w:val="24"/>
        </w:rPr>
      </w:pPr>
      <w:r>
        <w:rPr>
          <w:rFonts w:hint="eastAsia" w:ascii="宋体" w:cs="宋体"/>
          <w:kern w:val="0"/>
          <w:szCs w:val="24"/>
        </w:rPr>
        <w:t>本层取碎块状岩样</w:t>
      </w:r>
      <w:r>
        <w:rPr>
          <w:rFonts w:cs="Times New Roman"/>
          <w:kern w:val="0"/>
          <w:szCs w:val="24"/>
        </w:rPr>
        <w:t xml:space="preserve">6 </w:t>
      </w:r>
      <w:r>
        <w:rPr>
          <w:rFonts w:hint="eastAsia" w:ascii="宋体" w:cs="宋体"/>
          <w:kern w:val="0"/>
          <w:szCs w:val="24"/>
        </w:rPr>
        <w:t>组，进行点载荷试验，根据《工程岩体分级标准》</w:t>
      </w:r>
      <w:r>
        <w:rPr>
          <w:rFonts w:cs="Times New Roman"/>
          <w:kern w:val="0"/>
          <w:szCs w:val="24"/>
        </w:rPr>
        <w:t xml:space="preserve">3.3-1 </w:t>
      </w:r>
      <w:r>
        <w:rPr>
          <w:rFonts w:hint="eastAsia" w:ascii="宋体" w:cs="宋体"/>
          <w:kern w:val="0"/>
          <w:szCs w:val="24"/>
        </w:rPr>
        <w:t>式换算得到天然状态单轴抗压强度，抗压强度为</w:t>
      </w:r>
      <w:r>
        <w:rPr>
          <w:rFonts w:cs="Times New Roman"/>
          <w:kern w:val="0"/>
          <w:szCs w:val="24"/>
        </w:rPr>
        <w:t>1.30~1.81</w:t>
      </w:r>
      <w:r>
        <w:rPr>
          <w:rFonts w:cs="Times New Roman"/>
          <w:i/>
          <w:iCs/>
          <w:kern w:val="0"/>
          <w:szCs w:val="24"/>
        </w:rPr>
        <w:t>Mpa</w:t>
      </w:r>
      <w:r>
        <w:rPr>
          <w:rFonts w:hint="eastAsia" w:ascii="宋体" w:cs="宋体"/>
          <w:kern w:val="0"/>
          <w:szCs w:val="24"/>
        </w:rPr>
        <w:t>，平均值</w:t>
      </w:r>
      <w:r>
        <w:rPr>
          <w:rFonts w:cs="Times New Roman"/>
          <w:kern w:val="0"/>
          <w:szCs w:val="24"/>
        </w:rPr>
        <w:t>1.53</w:t>
      </w:r>
      <w:r>
        <w:rPr>
          <w:rFonts w:cs="Times New Roman"/>
          <w:i/>
          <w:iCs/>
          <w:kern w:val="0"/>
          <w:szCs w:val="24"/>
        </w:rPr>
        <w:t>Mpa</w:t>
      </w:r>
      <w:r>
        <w:rPr>
          <w:rFonts w:hint="eastAsia" w:ascii="宋体" w:cs="宋体"/>
          <w:kern w:val="0"/>
          <w:szCs w:val="24"/>
        </w:rPr>
        <w:t>，标准值</w:t>
      </w:r>
      <w:r>
        <w:rPr>
          <w:rFonts w:cs="Times New Roman"/>
          <w:kern w:val="0"/>
          <w:szCs w:val="24"/>
        </w:rPr>
        <w:t>1.36</w:t>
      </w:r>
      <w:r>
        <w:rPr>
          <w:rFonts w:cs="Times New Roman"/>
          <w:i/>
          <w:iCs/>
          <w:kern w:val="0"/>
          <w:szCs w:val="24"/>
        </w:rPr>
        <w:t>Mpa</w:t>
      </w:r>
      <w:r>
        <w:rPr>
          <w:rFonts w:hint="eastAsia" w:ascii="宋体" w:cs="宋体"/>
          <w:kern w:val="0"/>
          <w:sz w:val="28"/>
          <w:szCs w:val="28"/>
        </w:rPr>
        <w:t>，</w:t>
      </w:r>
      <w:r>
        <w:rPr>
          <w:rFonts w:hint="eastAsia" w:ascii="宋体" w:cs="宋体"/>
          <w:kern w:val="0"/>
          <w:szCs w:val="24"/>
        </w:rPr>
        <w:t>属于极软岩，岩体破碎，岩体基本质量等级为Ⅴ类。建议承载力特征值经验值</w:t>
      </w:r>
      <w:r>
        <w:rPr>
          <w:rFonts w:cs="Times New Roman"/>
          <w:i/>
          <w:iCs/>
          <w:kern w:val="0"/>
          <w:szCs w:val="24"/>
        </w:rPr>
        <w:t>f</w:t>
      </w:r>
      <w:r>
        <w:rPr>
          <w:rFonts w:cs="Times New Roman"/>
          <w:kern w:val="0"/>
          <w:sz w:val="16"/>
          <w:szCs w:val="16"/>
        </w:rPr>
        <w:t>a</w:t>
      </w:r>
      <w:r>
        <w:rPr>
          <w:rFonts w:cs="Times New Roman"/>
          <w:kern w:val="0"/>
          <w:szCs w:val="24"/>
        </w:rPr>
        <w:t>=350kPa</w:t>
      </w:r>
      <w:r>
        <w:rPr>
          <w:rFonts w:hint="eastAsia" w:ascii="宋体" w:cs="宋体"/>
          <w:kern w:val="0"/>
          <w:szCs w:val="24"/>
        </w:rPr>
        <w:t>。</w:t>
      </w:r>
    </w:p>
    <w:p w14:paraId="166D70D3">
      <w:pPr>
        <w:autoSpaceDE w:val="0"/>
        <w:autoSpaceDN w:val="0"/>
        <w:adjustRightInd w:val="0"/>
        <w:ind w:firstLine="480"/>
        <w:jc w:val="left"/>
        <w:rPr>
          <w:rFonts w:ascii="宋体" w:cs="宋体"/>
          <w:kern w:val="0"/>
          <w:szCs w:val="24"/>
        </w:rPr>
      </w:pPr>
      <w:r>
        <w:rPr>
          <w:rFonts w:hint="eastAsia" w:ascii="宋体" w:cs="宋体"/>
          <w:kern w:val="0"/>
          <w:szCs w:val="24"/>
        </w:rPr>
        <w:t>⑤</w:t>
      </w:r>
      <w:r>
        <w:rPr>
          <w:rFonts w:cs="Times New Roman"/>
          <w:kern w:val="0"/>
          <w:sz w:val="16"/>
          <w:szCs w:val="16"/>
        </w:rPr>
        <w:t xml:space="preserve">2 </w:t>
      </w:r>
      <w:r>
        <w:rPr>
          <w:rFonts w:hint="eastAsia" w:ascii="宋体" w:cs="宋体"/>
          <w:kern w:val="0"/>
          <w:szCs w:val="24"/>
        </w:rPr>
        <w:t>中风化炭质页岩：浅灰色、灰黑色，薄层状及片状构造，泥质结构，裂隙较发育，岩芯较破碎</w:t>
      </w:r>
      <w:r>
        <w:rPr>
          <w:rFonts w:cs="Times New Roman"/>
          <w:kern w:val="0"/>
          <w:szCs w:val="24"/>
        </w:rPr>
        <w:t>-</w:t>
      </w:r>
      <w:r>
        <w:rPr>
          <w:rFonts w:hint="eastAsia" w:ascii="宋体" w:cs="宋体"/>
          <w:kern w:val="0"/>
          <w:szCs w:val="24"/>
        </w:rPr>
        <w:t>较完整，岩质较软，锤击声哑，可污手，以短柱状、柱状为主，块状、片状为次，节长</w:t>
      </w:r>
      <w:r>
        <w:rPr>
          <w:rFonts w:cs="Times New Roman"/>
          <w:kern w:val="0"/>
          <w:szCs w:val="24"/>
        </w:rPr>
        <w:t>10-20cm</w:t>
      </w:r>
      <w:r>
        <w:rPr>
          <w:rFonts w:hint="eastAsia" w:ascii="宋体" w:cs="宋体"/>
          <w:kern w:val="0"/>
          <w:szCs w:val="24"/>
        </w:rPr>
        <w:t>，最长</w:t>
      </w:r>
      <w:r>
        <w:rPr>
          <w:rFonts w:cs="Times New Roman"/>
          <w:kern w:val="0"/>
          <w:szCs w:val="24"/>
        </w:rPr>
        <w:t>40cm</w:t>
      </w:r>
      <w:r>
        <w:rPr>
          <w:rFonts w:hint="eastAsia" w:ascii="宋体" w:cs="宋体"/>
          <w:kern w:val="0"/>
          <w:szCs w:val="24"/>
        </w:rPr>
        <w:t>。层厚</w:t>
      </w:r>
      <w:r>
        <w:rPr>
          <w:rFonts w:cs="Times New Roman"/>
          <w:kern w:val="0"/>
          <w:szCs w:val="24"/>
        </w:rPr>
        <w:t>0.20~27.00m</w:t>
      </w:r>
      <w:r>
        <w:rPr>
          <w:rFonts w:hint="eastAsia" w:ascii="宋体" w:cs="宋体"/>
          <w:kern w:val="0"/>
          <w:szCs w:val="24"/>
        </w:rPr>
        <w:t>，平均厚度</w:t>
      </w:r>
      <w:r>
        <w:rPr>
          <w:rFonts w:cs="Times New Roman"/>
          <w:kern w:val="0"/>
          <w:szCs w:val="24"/>
        </w:rPr>
        <w:t>6.65m</w:t>
      </w:r>
      <w:r>
        <w:rPr>
          <w:rFonts w:hint="eastAsia" w:ascii="宋体" w:cs="宋体"/>
          <w:kern w:val="0"/>
          <w:szCs w:val="24"/>
        </w:rPr>
        <w:t>。</w:t>
      </w:r>
    </w:p>
    <w:p w14:paraId="65539E87">
      <w:pPr>
        <w:autoSpaceDE w:val="0"/>
        <w:autoSpaceDN w:val="0"/>
        <w:adjustRightInd w:val="0"/>
        <w:ind w:firstLine="480"/>
        <w:jc w:val="left"/>
        <w:rPr>
          <w:rFonts w:ascii="宋体" w:cs="宋体"/>
          <w:kern w:val="0"/>
          <w:szCs w:val="24"/>
        </w:rPr>
      </w:pPr>
      <w:r>
        <w:rPr>
          <w:rFonts w:hint="eastAsia" w:ascii="宋体" w:cs="宋体"/>
          <w:kern w:val="0"/>
          <w:szCs w:val="24"/>
        </w:rPr>
        <w:t>本层取岩样</w:t>
      </w:r>
      <w:r>
        <w:rPr>
          <w:rFonts w:cs="Times New Roman"/>
          <w:kern w:val="0"/>
          <w:szCs w:val="24"/>
        </w:rPr>
        <w:t xml:space="preserve">9 </w:t>
      </w:r>
      <w:r>
        <w:rPr>
          <w:rFonts w:hint="eastAsia" w:ascii="宋体" w:cs="宋体"/>
          <w:kern w:val="0"/>
          <w:szCs w:val="24"/>
        </w:rPr>
        <w:t>组，进行天然状态单轴抗压强度试验，抗压强度为</w:t>
      </w:r>
      <w:r>
        <w:rPr>
          <w:rFonts w:cs="Times New Roman"/>
          <w:kern w:val="0"/>
          <w:szCs w:val="24"/>
        </w:rPr>
        <w:t>5.35~38.0</w:t>
      </w:r>
      <w:r>
        <w:rPr>
          <w:rFonts w:cs="Times New Roman"/>
          <w:i/>
          <w:iCs/>
          <w:kern w:val="0"/>
          <w:szCs w:val="24"/>
        </w:rPr>
        <w:t>Mpa</w:t>
      </w:r>
      <w:r>
        <w:rPr>
          <w:rFonts w:hint="eastAsia" w:ascii="宋体" w:cs="宋体"/>
          <w:kern w:val="0"/>
          <w:szCs w:val="24"/>
        </w:rPr>
        <w:t>，平均值</w:t>
      </w:r>
      <w:r>
        <w:rPr>
          <w:rFonts w:cs="Times New Roman"/>
          <w:kern w:val="0"/>
          <w:szCs w:val="24"/>
        </w:rPr>
        <w:t>19.76</w:t>
      </w:r>
      <w:r>
        <w:rPr>
          <w:rFonts w:cs="Times New Roman"/>
          <w:i/>
          <w:iCs/>
          <w:kern w:val="0"/>
          <w:szCs w:val="24"/>
        </w:rPr>
        <w:t>Mpa</w:t>
      </w:r>
      <w:r>
        <w:rPr>
          <w:rFonts w:hint="eastAsia" w:ascii="宋体" w:cs="宋体"/>
          <w:kern w:val="0"/>
          <w:szCs w:val="24"/>
        </w:rPr>
        <w:t>，标准值</w:t>
      </w:r>
      <w:r>
        <w:rPr>
          <w:rFonts w:cs="Times New Roman"/>
          <w:kern w:val="0"/>
          <w:szCs w:val="24"/>
        </w:rPr>
        <w:t>11.57</w:t>
      </w:r>
      <w:r>
        <w:rPr>
          <w:rFonts w:cs="Times New Roman"/>
          <w:i/>
          <w:iCs/>
          <w:kern w:val="0"/>
          <w:szCs w:val="24"/>
        </w:rPr>
        <w:t>Mpa</w:t>
      </w:r>
      <w:r>
        <w:rPr>
          <w:rFonts w:hint="eastAsia" w:ascii="宋体" w:cs="宋体"/>
          <w:kern w:val="0"/>
          <w:sz w:val="28"/>
          <w:szCs w:val="28"/>
        </w:rPr>
        <w:t>，</w:t>
      </w:r>
      <w:r>
        <w:rPr>
          <w:rFonts w:hint="eastAsia" w:ascii="宋体" w:cs="宋体"/>
          <w:kern w:val="0"/>
          <w:szCs w:val="24"/>
        </w:rPr>
        <w:t>属于软岩，岩体较破碎</w:t>
      </w:r>
      <w:r>
        <w:rPr>
          <w:rFonts w:cs="Times New Roman"/>
          <w:kern w:val="0"/>
          <w:szCs w:val="24"/>
        </w:rPr>
        <w:t>~</w:t>
      </w:r>
      <w:r>
        <w:rPr>
          <w:rFonts w:hint="eastAsia" w:ascii="宋体" w:cs="宋体"/>
          <w:kern w:val="0"/>
          <w:szCs w:val="24"/>
        </w:rPr>
        <w:t>较完整，岩体基本质量等级为Ⅳ</w:t>
      </w:r>
      <w:r>
        <w:rPr>
          <w:rFonts w:cs="Times New Roman"/>
          <w:kern w:val="0"/>
          <w:szCs w:val="24"/>
        </w:rPr>
        <w:t>~</w:t>
      </w:r>
      <w:r>
        <w:rPr>
          <w:rFonts w:hint="eastAsia" w:ascii="宋体" w:cs="宋体"/>
          <w:kern w:val="0"/>
          <w:szCs w:val="24"/>
        </w:rPr>
        <w:t>Ⅴ类。建议承载力特征值经验值</w:t>
      </w:r>
      <w:r>
        <w:rPr>
          <w:rFonts w:cs="Times New Roman"/>
          <w:i/>
          <w:iCs/>
          <w:kern w:val="0"/>
          <w:szCs w:val="24"/>
        </w:rPr>
        <w:t>f</w:t>
      </w:r>
      <w:r>
        <w:rPr>
          <w:rFonts w:cs="Times New Roman"/>
          <w:kern w:val="0"/>
          <w:sz w:val="16"/>
          <w:szCs w:val="16"/>
        </w:rPr>
        <w:t>a</w:t>
      </w:r>
      <w:r>
        <w:rPr>
          <w:rFonts w:cs="Times New Roman"/>
          <w:kern w:val="0"/>
          <w:szCs w:val="24"/>
        </w:rPr>
        <w:t>=1800kPa</w:t>
      </w:r>
      <w:r>
        <w:rPr>
          <w:rFonts w:hint="eastAsia" w:ascii="宋体" w:cs="宋体"/>
          <w:kern w:val="0"/>
          <w:szCs w:val="24"/>
        </w:rPr>
        <w:t>。</w:t>
      </w:r>
    </w:p>
    <w:p w14:paraId="1A61D947">
      <w:pPr>
        <w:autoSpaceDE w:val="0"/>
        <w:autoSpaceDN w:val="0"/>
        <w:adjustRightInd w:val="0"/>
        <w:ind w:firstLine="480"/>
        <w:jc w:val="left"/>
        <w:rPr>
          <w:rFonts w:ascii="宋体" w:cs="宋体"/>
          <w:kern w:val="0"/>
          <w:szCs w:val="24"/>
        </w:rPr>
      </w:pPr>
      <w:r>
        <w:rPr>
          <w:rFonts w:cs="Times New Roman"/>
          <w:kern w:val="0"/>
          <w:szCs w:val="24"/>
        </w:rPr>
        <w:t xml:space="preserve">3.2.6 </w:t>
      </w:r>
      <w:r>
        <w:rPr>
          <w:rFonts w:hint="eastAsia" w:ascii="宋体" w:cs="宋体"/>
          <w:kern w:val="0"/>
          <w:szCs w:val="24"/>
        </w:rPr>
        <w:t>石炭系炭质灰岩（</w:t>
      </w:r>
      <w:r>
        <w:rPr>
          <w:rFonts w:cs="Times New Roman"/>
          <w:kern w:val="0"/>
          <w:szCs w:val="24"/>
        </w:rPr>
        <w:t>C</w:t>
      </w:r>
      <w:r>
        <w:rPr>
          <w:rFonts w:hint="eastAsia" w:ascii="宋体" w:cs="宋体"/>
          <w:kern w:val="0"/>
          <w:szCs w:val="24"/>
        </w:rPr>
        <w:t>），图件和附表代号为</w:t>
      </w:r>
      <w:r>
        <w:rPr>
          <w:rFonts w:cs="Times New Roman"/>
          <w:kern w:val="0"/>
          <w:szCs w:val="24"/>
        </w:rPr>
        <w:t>&lt;</w:t>
      </w:r>
      <w:r>
        <w:rPr>
          <w:rFonts w:hint="eastAsia" w:ascii="宋体" w:cs="宋体"/>
          <w:kern w:val="0"/>
          <w:szCs w:val="24"/>
        </w:rPr>
        <w:t>⑥</w:t>
      </w:r>
      <w:r>
        <w:rPr>
          <w:rFonts w:cs="Times New Roman"/>
          <w:kern w:val="0"/>
          <w:szCs w:val="24"/>
        </w:rPr>
        <w:t>&gt;</w:t>
      </w:r>
      <w:r>
        <w:rPr>
          <w:rFonts w:hint="eastAsia" w:ascii="宋体" w:cs="宋体"/>
          <w:kern w:val="0"/>
          <w:szCs w:val="24"/>
        </w:rPr>
        <w:t>：</w:t>
      </w:r>
    </w:p>
    <w:p w14:paraId="35EC5D71">
      <w:pPr>
        <w:autoSpaceDE w:val="0"/>
        <w:autoSpaceDN w:val="0"/>
        <w:adjustRightInd w:val="0"/>
        <w:ind w:firstLine="480"/>
        <w:jc w:val="left"/>
        <w:rPr>
          <w:rFonts w:ascii="宋体" w:cs="宋体"/>
          <w:kern w:val="0"/>
          <w:szCs w:val="24"/>
        </w:rPr>
      </w:pPr>
      <w:r>
        <w:rPr>
          <w:rFonts w:hint="eastAsia" w:ascii="宋体" w:cs="宋体"/>
          <w:kern w:val="0"/>
          <w:szCs w:val="24"/>
        </w:rPr>
        <w:t>⑥</w:t>
      </w:r>
      <w:r>
        <w:rPr>
          <w:rFonts w:cs="Times New Roman"/>
          <w:kern w:val="0"/>
          <w:sz w:val="16"/>
          <w:szCs w:val="16"/>
        </w:rPr>
        <w:t xml:space="preserve">1 </w:t>
      </w:r>
      <w:r>
        <w:rPr>
          <w:rFonts w:hint="eastAsia" w:ascii="宋体" w:cs="宋体"/>
          <w:kern w:val="0"/>
          <w:szCs w:val="24"/>
        </w:rPr>
        <w:t>微风化炭质灰岩：灰色，隐晶质结构，层状构造，裂隙较发育，充填方解石脉，岩质新鲜坚硬，锤击声脆。岩芯较完整，以长柱状为主，短柱状为次，少量块状、饼状，节长</w:t>
      </w:r>
      <w:r>
        <w:rPr>
          <w:rFonts w:cs="Times New Roman"/>
          <w:kern w:val="0"/>
          <w:szCs w:val="24"/>
        </w:rPr>
        <w:t>10-25cm</w:t>
      </w:r>
      <w:r>
        <w:rPr>
          <w:rFonts w:hint="eastAsia" w:ascii="宋体" w:cs="宋体"/>
          <w:kern w:val="0"/>
          <w:szCs w:val="24"/>
        </w:rPr>
        <w:t>，最长</w:t>
      </w:r>
      <w:r>
        <w:rPr>
          <w:rFonts w:cs="Times New Roman"/>
          <w:kern w:val="0"/>
          <w:szCs w:val="24"/>
        </w:rPr>
        <w:t>45cm</w:t>
      </w:r>
      <w:r>
        <w:rPr>
          <w:rFonts w:hint="eastAsia" w:ascii="宋体" w:cs="宋体"/>
          <w:kern w:val="0"/>
          <w:szCs w:val="24"/>
        </w:rPr>
        <w:t>。层厚</w:t>
      </w:r>
      <w:r>
        <w:rPr>
          <w:rFonts w:cs="Times New Roman"/>
          <w:kern w:val="0"/>
          <w:szCs w:val="24"/>
        </w:rPr>
        <w:t>0.10~8.00m</w:t>
      </w:r>
      <w:r>
        <w:rPr>
          <w:rFonts w:hint="eastAsia" w:ascii="宋体" w:cs="宋体"/>
          <w:kern w:val="0"/>
          <w:szCs w:val="24"/>
        </w:rPr>
        <w:t>，平均厚度</w:t>
      </w:r>
      <w:r>
        <w:rPr>
          <w:rFonts w:cs="Times New Roman"/>
          <w:kern w:val="0"/>
          <w:szCs w:val="24"/>
        </w:rPr>
        <w:t>3.56m</w:t>
      </w:r>
      <w:r>
        <w:rPr>
          <w:rFonts w:hint="eastAsia" w:ascii="宋体" w:cs="宋体"/>
          <w:kern w:val="0"/>
          <w:szCs w:val="24"/>
        </w:rPr>
        <w:t>。本层取岩样</w:t>
      </w:r>
      <w:r>
        <w:rPr>
          <w:rFonts w:cs="Times New Roman"/>
          <w:kern w:val="0"/>
          <w:szCs w:val="24"/>
        </w:rPr>
        <w:t xml:space="preserve">12 </w:t>
      </w:r>
      <w:r>
        <w:rPr>
          <w:rFonts w:hint="eastAsia" w:ascii="宋体" w:cs="宋体"/>
          <w:kern w:val="0"/>
          <w:szCs w:val="24"/>
        </w:rPr>
        <w:t>组，进行天然状态单轴抗压强度试验</w:t>
      </w:r>
      <w:r>
        <w:rPr>
          <w:rFonts w:cs="Times New Roman"/>
          <w:kern w:val="0"/>
          <w:szCs w:val="24"/>
        </w:rPr>
        <w:t xml:space="preserve">6 </w:t>
      </w:r>
      <w:r>
        <w:rPr>
          <w:rFonts w:hint="eastAsia" w:ascii="宋体" w:cs="宋体"/>
          <w:kern w:val="0"/>
          <w:szCs w:val="24"/>
        </w:rPr>
        <w:t>组，进行饱和状态单轴抗压强度试验</w:t>
      </w:r>
      <w:r>
        <w:rPr>
          <w:rFonts w:cs="Times New Roman"/>
          <w:kern w:val="0"/>
          <w:szCs w:val="24"/>
        </w:rPr>
        <w:t xml:space="preserve">6 </w:t>
      </w:r>
      <w:r>
        <w:rPr>
          <w:rFonts w:hint="eastAsia" w:ascii="宋体" w:cs="宋体"/>
          <w:kern w:val="0"/>
          <w:szCs w:val="24"/>
        </w:rPr>
        <w:t>组，天然状态抗压强度为</w:t>
      </w:r>
      <w:r>
        <w:rPr>
          <w:rFonts w:cs="Times New Roman"/>
          <w:kern w:val="0"/>
          <w:szCs w:val="24"/>
        </w:rPr>
        <w:t>9.9~36.8</w:t>
      </w:r>
      <w:r>
        <w:rPr>
          <w:rFonts w:cs="Times New Roman"/>
          <w:i/>
          <w:iCs/>
          <w:kern w:val="0"/>
          <w:szCs w:val="24"/>
        </w:rPr>
        <w:t>Mpa</w:t>
      </w:r>
      <w:r>
        <w:rPr>
          <w:rFonts w:hint="eastAsia" w:ascii="宋体" w:cs="宋体"/>
          <w:kern w:val="0"/>
          <w:szCs w:val="24"/>
        </w:rPr>
        <w:t>，平均值</w:t>
      </w:r>
      <w:r>
        <w:rPr>
          <w:rFonts w:cs="Times New Roman"/>
          <w:kern w:val="0"/>
          <w:szCs w:val="24"/>
        </w:rPr>
        <w:t>23.93</w:t>
      </w:r>
      <w:r>
        <w:rPr>
          <w:rFonts w:cs="Times New Roman"/>
          <w:i/>
          <w:iCs/>
          <w:kern w:val="0"/>
          <w:szCs w:val="24"/>
        </w:rPr>
        <w:t>Mpa</w:t>
      </w:r>
      <w:r>
        <w:rPr>
          <w:rFonts w:hint="eastAsia" w:ascii="宋体" w:cs="宋体"/>
          <w:kern w:val="0"/>
          <w:szCs w:val="24"/>
        </w:rPr>
        <w:t>，标准值</w:t>
      </w:r>
      <w:r>
        <w:rPr>
          <w:rFonts w:cs="Times New Roman"/>
          <w:kern w:val="0"/>
          <w:szCs w:val="24"/>
        </w:rPr>
        <w:t>14.29</w:t>
      </w:r>
      <w:r>
        <w:rPr>
          <w:rFonts w:cs="Times New Roman"/>
          <w:i/>
          <w:iCs/>
          <w:kern w:val="0"/>
          <w:szCs w:val="24"/>
        </w:rPr>
        <w:t>Mpa</w:t>
      </w:r>
      <w:r>
        <w:rPr>
          <w:rFonts w:hint="eastAsia" w:ascii="宋体" w:cs="宋体"/>
          <w:kern w:val="0"/>
          <w:sz w:val="28"/>
          <w:szCs w:val="28"/>
        </w:rPr>
        <w:t>；</w:t>
      </w:r>
      <w:r>
        <w:rPr>
          <w:rFonts w:hint="eastAsia" w:ascii="宋体" w:cs="宋体"/>
          <w:kern w:val="0"/>
          <w:szCs w:val="24"/>
        </w:rPr>
        <w:t>饱和状态抗压强度为</w:t>
      </w:r>
      <w:r>
        <w:rPr>
          <w:rFonts w:cs="Times New Roman"/>
          <w:kern w:val="0"/>
          <w:szCs w:val="24"/>
        </w:rPr>
        <w:t>8.9~25.7</w:t>
      </w:r>
      <w:r>
        <w:rPr>
          <w:rFonts w:cs="Times New Roman"/>
          <w:i/>
          <w:iCs/>
          <w:kern w:val="0"/>
          <w:szCs w:val="24"/>
        </w:rPr>
        <w:t>Mpa</w:t>
      </w:r>
      <w:r>
        <w:rPr>
          <w:rFonts w:hint="eastAsia" w:ascii="宋体" w:cs="宋体"/>
          <w:kern w:val="0"/>
          <w:szCs w:val="24"/>
        </w:rPr>
        <w:t>，平均值</w:t>
      </w:r>
      <w:r>
        <w:rPr>
          <w:rFonts w:cs="Times New Roman"/>
          <w:kern w:val="0"/>
          <w:szCs w:val="24"/>
        </w:rPr>
        <w:t>17.9</w:t>
      </w:r>
      <w:r>
        <w:rPr>
          <w:rFonts w:cs="Times New Roman"/>
          <w:i/>
          <w:iCs/>
          <w:kern w:val="0"/>
          <w:szCs w:val="24"/>
        </w:rPr>
        <w:t>Mpa</w:t>
      </w:r>
      <w:r>
        <w:rPr>
          <w:rFonts w:hint="eastAsia" w:ascii="宋体" w:cs="宋体"/>
          <w:kern w:val="0"/>
          <w:szCs w:val="24"/>
        </w:rPr>
        <w:t>，标准值</w:t>
      </w:r>
      <w:r>
        <w:rPr>
          <w:rFonts w:cs="Times New Roman"/>
          <w:kern w:val="0"/>
          <w:szCs w:val="24"/>
        </w:rPr>
        <w:t>12.1</w:t>
      </w:r>
      <w:r>
        <w:rPr>
          <w:rFonts w:cs="Times New Roman"/>
          <w:i/>
          <w:iCs/>
          <w:kern w:val="0"/>
          <w:szCs w:val="24"/>
        </w:rPr>
        <w:t>Mpa</w:t>
      </w:r>
      <w:r>
        <w:rPr>
          <w:rFonts w:hint="eastAsia" w:ascii="宋体" w:cs="宋体"/>
          <w:kern w:val="0"/>
          <w:sz w:val="28"/>
          <w:szCs w:val="28"/>
        </w:rPr>
        <w:t>，</w:t>
      </w:r>
      <w:r>
        <w:rPr>
          <w:rFonts w:hint="eastAsia" w:ascii="宋体" w:cs="宋体"/>
          <w:kern w:val="0"/>
          <w:szCs w:val="24"/>
        </w:rPr>
        <w:t>属于软岩，岩体较较完整，岩体基本质量等级为Ⅳ类。建议承载力特征值经验值</w:t>
      </w:r>
      <w:r>
        <w:rPr>
          <w:rFonts w:cs="Times New Roman"/>
          <w:i/>
          <w:iCs/>
          <w:kern w:val="0"/>
          <w:szCs w:val="24"/>
        </w:rPr>
        <w:t>f</w:t>
      </w:r>
      <w:r>
        <w:rPr>
          <w:rFonts w:cs="Times New Roman"/>
          <w:kern w:val="0"/>
          <w:sz w:val="16"/>
          <w:szCs w:val="16"/>
        </w:rPr>
        <w:t>a</w:t>
      </w:r>
      <w:r>
        <w:rPr>
          <w:rFonts w:cs="Times New Roman"/>
          <w:kern w:val="0"/>
          <w:szCs w:val="24"/>
        </w:rPr>
        <w:t>=2500kPa</w:t>
      </w:r>
      <w:r>
        <w:rPr>
          <w:rFonts w:hint="eastAsia" w:ascii="宋体" w:cs="宋体"/>
          <w:kern w:val="0"/>
          <w:szCs w:val="24"/>
        </w:rPr>
        <w:t>。</w:t>
      </w:r>
    </w:p>
    <w:p w14:paraId="7FD1DA7B">
      <w:pPr>
        <w:autoSpaceDE w:val="0"/>
        <w:autoSpaceDN w:val="0"/>
        <w:adjustRightInd w:val="0"/>
        <w:ind w:firstLine="480"/>
        <w:jc w:val="left"/>
        <w:rPr>
          <w:rFonts w:ascii="宋体" w:cs="宋体"/>
          <w:kern w:val="0"/>
          <w:sz w:val="18"/>
          <w:szCs w:val="18"/>
        </w:rPr>
      </w:pPr>
      <w:r>
        <w:rPr>
          <w:rFonts w:hint="eastAsia" w:ascii="宋体" w:cs="宋体"/>
          <w:kern w:val="0"/>
          <w:szCs w:val="24"/>
        </w:rPr>
        <w:t>⑥</w:t>
      </w:r>
      <w:r>
        <w:rPr>
          <w:rFonts w:cs="Times New Roman"/>
          <w:kern w:val="0"/>
          <w:sz w:val="16"/>
          <w:szCs w:val="16"/>
        </w:rPr>
        <w:t xml:space="preserve">2 </w:t>
      </w:r>
      <w:r>
        <w:rPr>
          <w:rFonts w:hint="eastAsia" w:ascii="宋体" w:cs="宋体"/>
          <w:kern w:val="0"/>
          <w:szCs w:val="24"/>
        </w:rPr>
        <w:t>溶洞：本场地</w:t>
      </w:r>
      <w:r>
        <w:rPr>
          <w:rFonts w:cs="Times New Roman"/>
          <w:kern w:val="0"/>
          <w:szCs w:val="24"/>
        </w:rPr>
        <w:t xml:space="preserve">3 </w:t>
      </w:r>
      <w:r>
        <w:rPr>
          <w:rFonts w:hint="eastAsia" w:ascii="宋体" w:cs="宋体"/>
          <w:kern w:val="0"/>
          <w:szCs w:val="24"/>
        </w:rPr>
        <w:t>个钻孔中均有揭露，层厚</w:t>
      </w:r>
      <w:r>
        <w:rPr>
          <w:rFonts w:cs="Times New Roman"/>
          <w:kern w:val="0"/>
          <w:szCs w:val="24"/>
        </w:rPr>
        <w:t>1.10~2.40m</w:t>
      </w:r>
      <w:r>
        <w:rPr>
          <w:rFonts w:hint="eastAsia" w:ascii="宋体" w:cs="宋体"/>
          <w:kern w:val="0"/>
          <w:szCs w:val="24"/>
        </w:rPr>
        <w:t>，平均厚度</w:t>
      </w:r>
      <w:r>
        <w:rPr>
          <w:rFonts w:cs="Times New Roman"/>
          <w:kern w:val="0"/>
          <w:szCs w:val="24"/>
        </w:rPr>
        <w:t>1.93m</w:t>
      </w:r>
      <w:r>
        <w:rPr>
          <w:rFonts w:hint="eastAsia" w:ascii="宋体" w:cs="宋体"/>
          <w:kern w:val="0"/>
          <w:szCs w:val="24"/>
        </w:rPr>
        <w:t>，层顶埋深</w:t>
      </w:r>
      <w:r>
        <w:rPr>
          <w:rFonts w:cs="Times New Roman"/>
          <w:kern w:val="0"/>
          <w:szCs w:val="24"/>
        </w:rPr>
        <w:t>8.50~11.60m</w:t>
      </w:r>
      <w:r>
        <w:rPr>
          <w:rFonts w:hint="eastAsia" w:ascii="宋体" w:cs="宋体"/>
          <w:kern w:val="0"/>
          <w:szCs w:val="24"/>
        </w:rPr>
        <w:t>，层顶高程</w:t>
      </w:r>
      <w:r>
        <w:rPr>
          <w:rFonts w:cs="Times New Roman"/>
          <w:kern w:val="0"/>
          <w:szCs w:val="24"/>
        </w:rPr>
        <w:t>11.94~19.58m</w:t>
      </w:r>
      <w:r>
        <w:rPr>
          <w:rFonts w:hint="eastAsia" w:ascii="宋体" w:cs="宋体"/>
          <w:kern w:val="0"/>
          <w:szCs w:val="24"/>
        </w:rPr>
        <w:t>，层底埋深</w:t>
      </w:r>
      <w:r>
        <w:rPr>
          <w:rFonts w:cs="Times New Roman"/>
          <w:kern w:val="0"/>
          <w:szCs w:val="24"/>
        </w:rPr>
        <w:t>10.80~14.00m</w:t>
      </w:r>
      <w:r>
        <w:rPr>
          <w:rFonts w:hint="eastAsia" w:ascii="宋体" w:cs="宋体"/>
          <w:kern w:val="0"/>
          <w:szCs w:val="24"/>
        </w:rPr>
        <w:t>，层底高程</w:t>
      </w:r>
      <w:r>
        <w:rPr>
          <w:rFonts w:cs="Times New Roman"/>
          <w:kern w:val="0"/>
          <w:szCs w:val="24"/>
        </w:rPr>
        <w:t>9.54~17.28m</w:t>
      </w:r>
      <w:r>
        <w:rPr>
          <w:rFonts w:hint="eastAsia" w:ascii="宋体" w:cs="宋体"/>
          <w:kern w:val="0"/>
          <w:szCs w:val="24"/>
        </w:rPr>
        <w:t>。溶洞半充填，漏水，充填物为破碎原岩碎块</w:t>
      </w:r>
      <w:r>
        <w:rPr>
          <w:rFonts w:hint="eastAsia" w:ascii="宋体" w:cs="宋体"/>
          <w:kern w:val="0"/>
          <w:sz w:val="18"/>
          <w:szCs w:val="18"/>
        </w:rPr>
        <w:t>。</w:t>
      </w:r>
    </w:p>
    <w:p w14:paraId="3A6F1867">
      <w:pPr>
        <w:ind w:firstLine="480"/>
        <w:rPr>
          <w:rFonts w:ascii="宋体" w:hAnsi="宋体"/>
          <w:bCs/>
        </w:rPr>
      </w:pPr>
      <w:r>
        <w:rPr>
          <w:rFonts w:hint="eastAsia" w:ascii="宋体" w:cs="宋体"/>
          <w:kern w:val="0"/>
          <w:szCs w:val="24"/>
        </w:rPr>
        <w:t>⑥</w:t>
      </w:r>
      <w:r>
        <w:rPr>
          <w:rFonts w:cs="Times New Roman"/>
          <w:kern w:val="0"/>
          <w:sz w:val="16"/>
          <w:szCs w:val="16"/>
        </w:rPr>
        <w:t xml:space="preserve">3 </w:t>
      </w:r>
      <w:r>
        <w:rPr>
          <w:rFonts w:hint="eastAsia" w:ascii="宋体" w:cs="宋体"/>
          <w:kern w:val="0"/>
          <w:szCs w:val="24"/>
        </w:rPr>
        <w:t>土洞本场地</w:t>
      </w:r>
      <w:r>
        <w:rPr>
          <w:rFonts w:cs="Times New Roman"/>
          <w:kern w:val="0"/>
          <w:szCs w:val="24"/>
        </w:rPr>
        <w:t xml:space="preserve">ZK122 </w:t>
      </w:r>
      <w:r>
        <w:rPr>
          <w:rFonts w:hint="eastAsia" w:ascii="宋体" w:cs="宋体"/>
          <w:kern w:val="0"/>
          <w:szCs w:val="24"/>
        </w:rPr>
        <w:t>等</w:t>
      </w:r>
      <w:r>
        <w:rPr>
          <w:rFonts w:cs="Times New Roman"/>
          <w:kern w:val="0"/>
          <w:szCs w:val="24"/>
        </w:rPr>
        <w:t xml:space="preserve">1 </w:t>
      </w:r>
      <w:r>
        <w:rPr>
          <w:rFonts w:hint="eastAsia" w:ascii="宋体" w:cs="宋体"/>
          <w:kern w:val="0"/>
          <w:szCs w:val="24"/>
        </w:rPr>
        <w:t>个钻孔中均有揭露，无填充，空洞。层厚</w:t>
      </w:r>
      <w:r>
        <w:rPr>
          <w:rFonts w:cs="Times New Roman"/>
          <w:kern w:val="0"/>
          <w:szCs w:val="24"/>
        </w:rPr>
        <w:t xml:space="preserve">4.00m </w:t>
      </w:r>
      <w:r>
        <w:rPr>
          <w:rFonts w:hint="eastAsia" w:ascii="宋体" w:cs="宋体"/>
          <w:kern w:val="0"/>
          <w:szCs w:val="24"/>
        </w:rPr>
        <w:t>层顶埋深</w:t>
      </w:r>
      <w:r>
        <w:rPr>
          <w:rFonts w:cs="Times New Roman"/>
          <w:kern w:val="0"/>
          <w:szCs w:val="24"/>
        </w:rPr>
        <w:t>13.00m</w:t>
      </w:r>
      <w:r>
        <w:rPr>
          <w:rFonts w:hint="eastAsia" w:ascii="宋体" w:cs="宋体"/>
          <w:kern w:val="0"/>
          <w:szCs w:val="24"/>
        </w:rPr>
        <w:t>，层顶高程</w:t>
      </w:r>
      <w:r>
        <w:rPr>
          <w:rFonts w:cs="Times New Roman"/>
          <w:kern w:val="0"/>
          <w:szCs w:val="24"/>
        </w:rPr>
        <w:t>34.49m</w:t>
      </w:r>
      <w:r>
        <w:rPr>
          <w:rFonts w:hint="eastAsia" w:ascii="宋体" w:cs="宋体"/>
          <w:kern w:val="0"/>
          <w:szCs w:val="24"/>
        </w:rPr>
        <w:t>，层底埋深</w:t>
      </w:r>
      <w:r>
        <w:rPr>
          <w:rFonts w:cs="Times New Roman"/>
          <w:kern w:val="0"/>
          <w:szCs w:val="24"/>
        </w:rPr>
        <w:t>17.00m</w:t>
      </w:r>
      <w:r>
        <w:rPr>
          <w:rFonts w:hint="eastAsia" w:ascii="宋体" w:cs="宋体"/>
          <w:kern w:val="0"/>
          <w:szCs w:val="24"/>
        </w:rPr>
        <w:t>，层底高程</w:t>
      </w:r>
      <w:r>
        <w:rPr>
          <w:rFonts w:cs="Times New Roman"/>
          <w:kern w:val="0"/>
          <w:szCs w:val="24"/>
        </w:rPr>
        <w:t>30.49m</w:t>
      </w:r>
      <w:r>
        <w:rPr>
          <w:rFonts w:hint="eastAsia" w:ascii="宋体" w:cs="宋体"/>
          <w:kern w:val="0"/>
          <w:szCs w:val="24"/>
        </w:rPr>
        <w:t>。</w:t>
      </w:r>
    </w:p>
    <w:p w14:paraId="1DF4D251">
      <w:pPr>
        <w:pStyle w:val="3"/>
        <w:bidi w:val="0"/>
        <w:ind w:firstLine="198"/>
        <w:rPr>
          <w:rFonts w:hint="eastAsia" w:ascii="Times New Roman" w:hAnsi="Times New Roman" w:eastAsia="宋体"/>
        </w:rPr>
      </w:pPr>
      <w:bookmarkStart w:id="8" w:name="_Toc85646484"/>
      <w:bookmarkStart w:id="9" w:name="_Toc68620618"/>
      <w:bookmarkStart w:id="10" w:name="_Toc71703562"/>
      <w:r>
        <w:rPr>
          <w:rFonts w:hint="eastAsia" w:ascii="Times New Roman" w:hAnsi="Times New Roman" w:eastAsia="宋体"/>
        </w:rPr>
        <w:t>四、工程总体设计</w:t>
      </w:r>
      <w:bookmarkEnd w:id="8"/>
      <w:bookmarkEnd w:id="9"/>
      <w:bookmarkEnd w:id="10"/>
    </w:p>
    <w:p w14:paraId="4DC691AC">
      <w:pPr>
        <w:snapToGrid w:val="0"/>
        <w:spacing w:before="72"/>
        <w:ind w:firstLine="480"/>
        <w:rPr>
          <w:snapToGrid w:val="0"/>
        </w:rPr>
      </w:pPr>
      <w:bookmarkStart w:id="11" w:name="_Toc68620626"/>
      <w:bookmarkStart w:id="12" w:name="_Toc85646487"/>
      <w:bookmarkStart w:id="13" w:name="_Toc71703570"/>
      <w:r>
        <w:rPr>
          <w:rFonts w:hint="eastAsia"/>
          <w:snapToGrid w:val="0"/>
        </w:rPr>
        <w:t>4</w:t>
      </w:r>
      <w:r>
        <w:rPr>
          <w:snapToGrid w:val="0"/>
        </w:rPr>
        <w:t>.1</w:t>
      </w:r>
      <w:r>
        <w:rPr>
          <w:rFonts w:hint="eastAsia"/>
          <w:snapToGrid w:val="0"/>
        </w:rPr>
        <w:t>平面设计</w:t>
      </w:r>
      <w:bookmarkEnd w:id="11"/>
      <w:bookmarkEnd w:id="12"/>
      <w:bookmarkEnd w:id="13"/>
    </w:p>
    <w:p w14:paraId="73017F6F">
      <w:pPr>
        <w:snapToGrid w:val="0"/>
        <w:spacing w:before="72"/>
        <w:ind w:firstLine="480"/>
        <w:rPr>
          <w:spacing w:val="4"/>
        </w:rPr>
      </w:pPr>
      <w:r>
        <w:rPr>
          <w:rFonts w:hint="eastAsia"/>
          <w:snapToGrid w:val="0"/>
        </w:rPr>
        <w:t>临时道路设计中心线与支路四规划道路中心线一致，</w:t>
      </w:r>
      <w:r>
        <w:rPr>
          <w:rFonts w:hint="eastAsia"/>
          <w:spacing w:val="4"/>
        </w:rPr>
        <w:t>路线呈南北走向。道路起点为永安东路，终点接现状村道，道路长度约</w:t>
      </w:r>
      <w:r>
        <w:rPr>
          <w:rFonts w:hint="eastAsia"/>
          <w:spacing w:val="4"/>
          <w:lang w:val="en-US" w:eastAsia="zh-CN"/>
        </w:rPr>
        <w:t>175</w:t>
      </w:r>
      <w:r>
        <w:rPr>
          <w:rFonts w:hint="eastAsia"/>
          <w:spacing w:val="4"/>
        </w:rPr>
        <w:t>米，经由南侧的</w:t>
      </w:r>
      <w:r>
        <w:rPr>
          <w:rFonts w:hint="eastAsia"/>
          <w:spacing w:val="4"/>
          <w:lang w:val="en-US" w:eastAsia="zh-CN"/>
        </w:rPr>
        <w:t>临时</w:t>
      </w:r>
      <w:r>
        <w:rPr>
          <w:rFonts w:hint="eastAsia"/>
          <w:spacing w:val="4"/>
        </w:rPr>
        <w:t>道路</w:t>
      </w:r>
      <w:r>
        <w:rPr>
          <w:rFonts w:hint="eastAsia"/>
          <w:spacing w:val="4"/>
          <w:lang w:val="en-US" w:eastAsia="zh-CN"/>
        </w:rPr>
        <w:t>一期</w:t>
      </w:r>
      <w:r>
        <w:rPr>
          <w:rFonts w:hint="eastAsia"/>
          <w:spacing w:val="4"/>
        </w:rPr>
        <w:t>连接至花都大道。</w:t>
      </w:r>
    </w:p>
    <w:p w14:paraId="2B139796">
      <w:pPr>
        <w:snapToGrid w:val="0"/>
        <w:spacing w:before="72"/>
        <w:ind w:firstLine="480"/>
        <w:rPr>
          <w:snapToGrid w:val="0"/>
        </w:rPr>
      </w:pPr>
      <w:bookmarkStart w:id="14" w:name="_Toc85646488"/>
      <w:bookmarkStart w:id="15" w:name="_Toc68620627"/>
      <w:bookmarkStart w:id="16" w:name="_Toc71703571"/>
      <w:r>
        <w:rPr>
          <w:rFonts w:hint="eastAsia"/>
          <w:snapToGrid w:val="0"/>
        </w:rPr>
        <w:t>4</w:t>
      </w:r>
      <w:r>
        <w:rPr>
          <w:snapToGrid w:val="0"/>
        </w:rPr>
        <w:t>.2</w:t>
      </w:r>
      <w:r>
        <w:rPr>
          <w:rFonts w:hint="eastAsia"/>
          <w:snapToGrid w:val="0"/>
        </w:rPr>
        <w:t>纵断面设计</w:t>
      </w:r>
      <w:bookmarkEnd w:id="14"/>
      <w:bookmarkEnd w:id="15"/>
      <w:bookmarkEnd w:id="16"/>
    </w:p>
    <w:p w14:paraId="3DE3A014">
      <w:pPr>
        <w:ind w:firstLine="480"/>
      </w:pPr>
      <w:r>
        <w:rPr>
          <w:rFonts w:hint="eastAsia"/>
          <w:lang w:val="en-US" w:eastAsia="zh-CN"/>
        </w:rPr>
        <w:t>临时道路西侧幼儿园衔接标高约28~27.85m，</w:t>
      </w:r>
      <w:r>
        <w:rPr>
          <w:rFonts w:hint="eastAsia"/>
        </w:rPr>
        <w:t>道路起点</w:t>
      </w:r>
      <w:r>
        <w:rPr>
          <w:rFonts w:hint="eastAsia"/>
          <w:lang w:val="en-US" w:eastAsia="zh-CN"/>
        </w:rPr>
        <w:t>接</w:t>
      </w:r>
      <w:r>
        <w:rPr>
          <w:rFonts w:hint="eastAsia"/>
        </w:rPr>
        <w:t>永安东路，标高为</w:t>
      </w:r>
      <w:r>
        <w:t>28</w:t>
      </w:r>
      <w:r>
        <w:rPr>
          <w:rFonts w:hint="eastAsia"/>
        </w:rPr>
        <w:t>米，道路终点连接现状道路，标高</w:t>
      </w:r>
      <w:r>
        <w:rPr>
          <w:rFonts w:hint="eastAsia"/>
          <w:lang w:val="en-US" w:eastAsia="zh-CN"/>
        </w:rPr>
        <w:t>约</w:t>
      </w:r>
      <w:r>
        <w:rPr>
          <w:rFonts w:hint="eastAsia"/>
        </w:rPr>
        <w:t>为</w:t>
      </w:r>
      <w:r>
        <w:rPr>
          <w:rFonts w:hint="eastAsia"/>
          <w:lang w:val="en-US" w:eastAsia="zh-CN"/>
        </w:rPr>
        <w:t>24.65</w:t>
      </w:r>
      <w:r>
        <w:rPr>
          <w:rFonts w:hint="eastAsia"/>
        </w:rPr>
        <w:t>米。道路最大纵坡为</w:t>
      </w:r>
      <w:r>
        <w:rPr>
          <w:rFonts w:hint="eastAsia"/>
          <w:lang w:val="en-US" w:eastAsia="zh-CN"/>
        </w:rPr>
        <w:t>5.1</w:t>
      </w:r>
      <w:r>
        <w:rPr>
          <w:rFonts w:hint="eastAsia"/>
        </w:rPr>
        <w:t>%，最小纵坡为0.</w:t>
      </w:r>
      <w:r>
        <w:t>3</w:t>
      </w:r>
      <w:r>
        <w:rPr>
          <w:rFonts w:hint="eastAsia"/>
        </w:rPr>
        <w:t>%。详见道路纵断面设计图。</w:t>
      </w:r>
    </w:p>
    <w:p w14:paraId="1807A9A1">
      <w:pPr>
        <w:snapToGrid w:val="0"/>
        <w:spacing w:before="72"/>
        <w:ind w:firstLine="480"/>
        <w:rPr>
          <w:snapToGrid w:val="0"/>
        </w:rPr>
      </w:pPr>
      <w:bookmarkStart w:id="17" w:name="_Toc71703572"/>
      <w:bookmarkStart w:id="18" w:name="_Toc85646489"/>
      <w:bookmarkStart w:id="19" w:name="_Toc68620628"/>
      <w:r>
        <w:rPr>
          <w:rFonts w:hint="eastAsia"/>
          <w:snapToGrid w:val="0"/>
        </w:rPr>
        <w:t>4</w:t>
      </w:r>
      <w:r>
        <w:rPr>
          <w:snapToGrid w:val="0"/>
        </w:rPr>
        <w:t>.3</w:t>
      </w:r>
      <w:r>
        <w:rPr>
          <w:rFonts w:hint="eastAsia"/>
          <w:snapToGrid w:val="0"/>
        </w:rPr>
        <w:t>横断面设计</w:t>
      </w:r>
      <w:bookmarkEnd w:id="17"/>
      <w:bookmarkEnd w:id="18"/>
      <w:bookmarkEnd w:id="19"/>
    </w:p>
    <w:p w14:paraId="46E6D4AE">
      <w:pPr>
        <w:ind w:firstLine="480"/>
        <w:rPr>
          <w:rFonts w:hint="default" w:eastAsia="宋体"/>
          <w:lang w:val="en-US" w:eastAsia="zh-CN"/>
        </w:rPr>
      </w:pPr>
      <w:r>
        <w:rPr>
          <w:rFonts w:hint="eastAsia"/>
          <w:lang w:val="en-US" w:eastAsia="zh-CN"/>
        </w:rPr>
        <w:t>规划道路标准横断面布置为：2.5m人行道+1.5m绿化带+2.5m非机动车道+7m车行道+2.5m非机动车道+1.5m绿化带+2.5m人行道。</w:t>
      </w:r>
    </w:p>
    <w:p w14:paraId="534A974F">
      <w:pPr>
        <w:ind w:firstLine="480"/>
        <w:rPr>
          <w:rFonts w:hint="default" w:eastAsia="宋体"/>
          <w:lang w:val="en-US" w:eastAsia="zh-CN"/>
        </w:rPr>
      </w:pPr>
      <w:r>
        <w:rPr>
          <w:rFonts w:hint="eastAsia"/>
          <w:lang w:val="en-US" w:eastAsia="zh-CN"/>
        </w:rPr>
        <w:t>本次临时道路实施用地红线宽度为10m，</w:t>
      </w:r>
      <w:r>
        <w:rPr>
          <w:rFonts w:hint="eastAsia"/>
        </w:rPr>
        <w:t>因临时道路占用现状水渠，</w:t>
      </w:r>
      <w:r>
        <w:rPr>
          <w:rFonts w:hint="eastAsia"/>
          <w:lang w:val="en-US" w:eastAsia="zh-CN"/>
        </w:rPr>
        <w:t>其中8m为路基宽度，2m为用于恢复水渠。</w:t>
      </w:r>
    </w:p>
    <w:p w14:paraId="38247A54">
      <w:pPr>
        <w:ind w:firstLine="480"/>
      </w:pPr>
      <w:r>
        <w:rPr>
          <w:rFonts w:hint="eastAsia"/>
        </w:rPr>
        <w:t>临时道</w:t>
      </w:r>
      <w:bookmarkStart w:id="33" w:name="_GoBack"/>
      <w:bookmarkEnd w:id="33"/>
      <w:r>
        <w:rPr>
          <w:rFonts w:hint="eastAsia"/>
        </w:rPr>
        <w:t>路标准横断面布置为： 6.5</w:t>
      </w:r>
      <w:r>
        <w:t>m</w:t>
      </w:r>
      <w:r>
        <w:rPr>
          <w:rFonts w:hint="eastAsia"/>
        </w:rPr>
        <w:t>车行道+1.5m人行道=8m。</w:t>
      </w:r>
    </w:p>
    <w:p w14:paraId="7419A606">
      <w:pPr>
        <w:ind w:firstLine="480"/>
        <w:jc w:val="center"/>
      </w:pPr>
      <w:r>
        <w:drawing>
          <wp:inline distT="0" distB="0" distL="114300" distR="114300">
            <wp:extent cx="3743325" cy="681926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0"/>
                    <a:srcRect t="4030"/>
                    <a:stretch>
                      <a:fillRect/>
                    </a:stretch>
                  </pic:blipFill>
                  <pic:spPr>
                    <a:xfrm>
                      <a:off x="0" y="0"/>
                      <a:ext cx="3743325" cy="6819265"/>
                    </a:xfrm>
                    <a:prstGeom prst="rect">
                      <a:avLst/>
                    </a:prstGeom>
                    <a:noFill/>
                    <a:ln>
                      <a:noFill/>
                    </a:ln>
                  </pic:spPr>
                </pic:pic>
              </a:graphicData>
            </a:graphic>
          </wp:inline>
        </w:drawing>
      </w:r>
    </w:p>
    <w:p w14:paraId="346E7C22">
      <w:pPr>
        <w:snapToGrid w:val="0"/>
        <w:spacing w:before="72"/>
        <w:ind w:firstLine="480"/>
        <w:rPr>
          <w:snapToGrid w:val="0"/>
        </w:rPr>
      </w:pPr>
      <w:bookmarkStart w:id="20" w:name="_Toc71703574"/>
      <w:bookmarkStart w:id="21" w:name="_Toc68620630"/>
      <w:bookmarkStart w:id="22" w:name="_Toc85646491"/>
      <w:r>
        <w:rPr>
          <w:rFonts w:hint="eastAsia"/>
          <w:snapToGrid w:val="0"/>
        </w:rPr>
        <w:t>4</w:t>
      </w:r>
      <w:r>
        <w:rPr>
          <w:snapToGrid w:val="0"/>
        </w:rPr>
        <w:t>.4</w:t>
      </w:r>
      <w:r>
        <w:rPr>
          <w:rFonts w:hint="eastAsia"/>
          <w:snapToGrid w:val="0"/>
        </w:rPr>
        <w:t>路基、路面</w:t>
      </w:r>
      <w:bookmarkEnd w:id="20"/>
      <w:bookmarkEnd w:id="21"/>
      <w:r>
        <w:rPr>
          <w:rFonts w:hint="eastAsia"/>
          <w:snapToGrid w:val="0"/>
        </w:rPr>
        <w:t>工程</w:t>
      </w:r>
      <w:bookmarkEnd w:id="22"/>
    </w:p>
    <w:p w14:paraId="58CF26C5">
      <w:pPr>
        <w:snapToGrid w:val="0"/>
        <w:spacing w:before="72"/>
        <w:ind w:firstLine="480"/>
        <w:rPr>
          <w:snapToGrid w:val="0"/>
        </w:rPr>
      </w:pPr>
      <w:bookmarkStart w:id="23" w:name="_Toc85646492"/>
      <w:r>
        <w:rPr>
          <w:rFonts w:hint="eastAsia"/>
          <w:snapToGrid w:val="0"/>
        </w:rPr>
        <w:t>4</w:t>
      </w:r>
      <w:r>
        <w:rPr>
          <w:snapToGrid w:val="0"/>
        </w:rPr>
        <w:t>.4</w:t>
      </w:r>
      <w:r>
        <w:rPr>
          <w:rFonts w:hint="eastAsia"/>
          <w:snapToGrid w:val="0"/>
        </w:rPr>
        <w:t>.</w:t>
      </w:r>
      <w:r>
        <w:rPr>
          <w:snapToGrid w:val="0"/>
        </w:rPr>
        <w:t>1</w:t>
      </w:r>
      <w:r>
        <w:rPr>
          <w:rFonts w:hint="eastAsia"/>
          <w:snapToGrid w:val="0"/>
        </w:rPr>
        <w:t>一般路基设计</w:t>
      </w:r>
      <w:bookmarkEnd w:id="23"/>
    </w:p>
    <w:p w14:paraId="24C009E6">
      <w:pPr>
        <w:ind w:firstLine="480"/>
      </w:pPr>
      <w:r>
        <w:rPr>
          <w:rFonts w:hint="eastAsia"/>
        </w:rPr>
        <w:t>（</w:t>
      </w:r>
      <w:r>
        <w:t>1</w:t>
      </w:r>
      <w:r>
        <w:rPr>
          <w:rFonts w:hint="eastAsia"/>
        </w:rPr>
        <w:t>）路基设计原则</w:t>
      </w:r>
    </w:p>
    <w:p w14:paraId="4B329B23">
      <w:pPr>
        <w:ind w:firstLine="480"/>
      </w:pPr>
      <w:r>
        <w:t>1</w:t>
      </w:r>
      <w:r>
        <w:rPr>
          <w:rFonts w:hint="eastAsia"/>
        </w:rPr>
        <w:t>）路基应密实坚固，路床上部应达到干燥或中湿状态。</w:t>
      </w:r>
    </w:p>
    <w:p w14:paraId="3C70AE14">
      <w:pPr>
        <w:ind w:firstLine="480"/>
      </w:pPr>
      <w:r>
        <w:t>2</w:t>
      </w:r>
      <w:r>
        <w:rPr>
          <w:rFonts w:hint="eastAsia"/>
        </w:rPr>
        <w:t>）路基应稳定均匀，一般路段和与构造物连接段的工后沉降应满足规范要求。</w:t>
      </w:r>
    </w:p>
    <w:p w14:paraId="6136264D">
      <w:pPr>
        <w:ind w:firstLine="480"/>
      </w:pPr>
      <w:r>
        <w:t>3</w:t>
      </w:r>
      <w:r>
        <w:rPr>
          <w:rFonts w:hint="eastAsia"/>
        </w:rPr>
        <w:t>）路基填筑材料要因地制宜，同时也应符合规范制定的填料要求。</w:t>
      </w:r>
    </w:p>
    <w:p w14:paraId="3AEF0EDC">
      <w:pPr>
        <w:ind w:firstLine="480"/>
      </w:pPr>
      <w:r>
        <w:t>4</w:t>
      </w:r>
      <w:r>
        <w:rPr>
          <w:rFonts w:hint="eastAsia"/>
        </w:rPr>
        <w:t>）路基设计应满足工程建设进度与技术经济合理的要求。</w:t>
      </w:r>
    </w:p>
    <w:p w14:paraId="68597703">
      <w:pPr>
        <w:ind w:firstLine="480"/>
      </w:pPr>
      <w:r>
        <w:t>5</w:t>
      </w:r>
      <w:r>
        <w:rPr>
          <w:rFonts w:hint="eastAsia"/>
        </w:rPr>
        <w:t>）路基设计满足防洪排涝要求，避免和防止滑坡塌方事故的发生。</w:t>
      </w:r>
    </w:p>
    <w:p w14:paraId="354168B8">
      <w:pPr>
        <w:ind w:firstLine="480"/>
        <w:rPr>
          <w:rFonts w:hint="eastAsia"/>
        </w:rPr>
      </w:pPr>
      <w:r>
        <w:t>6</w:t>
      </w:r>
      <w:r>
        <w:rPr>
          <w:rFonts w:hint="eastAsia"/>
        </w:rPr>
        <w:t>）路基应符合环保要求，环境美观。</w:t>
      </w:r>
    </w:p>
    <w:p w14:paraId="2605808C">
      <w:pPr>
        <w:ind w:firstLine="480"/>
        <w:rPr>
          <w:rFonts w:hint="eastAsia" w:eastAsia="宋体"/>
          <w:lang w:val="en-US" w:eastAsia="zh-CN"/>
        </w:rPr>
      </w:pPr>
      <w:r>
        <w:rPr>
          <w:rFonts w:hint="eastAsia"/>
          <w:lang w:val="en-US" w:eastAsia="zh-CN"/>
        </w:rPr>
        <w:t>7）</w:t>
      </w:r>
      <w:r>
        <w:rPr>
          <w:rFonts w:hint="eastAsia"/>
          <w:lang w:eastAsia="zh-CN" w:bidi="ar-SA"/>
        </w:rPr>
        <w:t>本工程土石方工程量以实测地形图为计算基础，如与现场不符，施工单位应及时与设计单位、建设单位协商解决。</w:t>
      </w:r>
    </w:p>
    <w:p w14:paraId="66AFE8FA">
      <w:pPr>
        <w:ind w:firstLine="480"/>
      </w:pPr>
      <w:r>
        <w:rPr>
          <w:rFonts w:hint="eastAsia"/>
        </w:rPr>
        <w:t>根据区内的地形、地基土的工程性质、路堤填筑高度、宽度、道路等级、填筑材料、荷载大小、地基承载力、稳定安全系数、容许变形值、土质的物理力学性质、周围环境条件、材料来源、施工工期、施工技术条件和经济指标等因素采用合理的路基填筑方式。</w:t>
      </w:r>
    </w:p>
    <w:p w14:paraId="145235C6">
      <w:pPr>
        <w:ind w:firstLine="480"/>
      </w:pPr>
      <w:r>
        <w:rPr>
          <w:rFonts w:hint="eastAsia"/>
        </w:rPr>
        <w:t>（</w:t>
      </w:r>
      <w:r>
        <w:t>2</w:t>
      </w:r>
      <w:r>
        <w:rPr>
          <w:rFonts w:hint="eastAsia"/>
        </w:rPr>
        <w:t>）路基填料</w:t>
      </w:r>
    </w:p>
    <w:p w14:paraId="6744AD47">
      <w:pPr>
        <w:ind w:firstLine="480"/>
        <w:rPr>
          <w:szCs w:val="24"/>
        </w:rPr>
      </w:pPr>
      <w:r>
        <w:rPr>
          <w:rFonts w:hint="eastAsia"/>
          <w:szCs w:val="24"/>
        </w:rPr>
        <w:t>1）路床填料应均匀、密实，最小强度、最大粒径和压实度符合规定。</w:t>
      </w:r>
    </w:p>
    <w:p w14:paraId="1DA4AE6F">
      <w:pPr>
        <w:ind w:firstLine="480"/>
      </w:pPr>
      <w:r>
        <w:rPr>
          <w:rFonts w:hint="eastAsia"/>
        </w:rPr>
        <w:t>2）路床填料最大粒径应小于100mm，路床顶面横坡应与路拱横坡一致。</w:t>
      </w:r>
    </w:p>
    <w:p w14:paraId="62141075">
      <w:pPr>
        <w:ind w:firstLine="480"/>
      </w:pPr>
      <w:r>
        <w:rPr>
          <w:rFonts w:hint="eastAsia"/>
        </w:rPr>
        <w:t>3）填方路基应优先选用级配良好的砾类土、砂类土等粗粒土作为填料，最大粒径应小于150mm。</w:t>
      </w:r>
    </w:p>
    <w:p w14:paraId="64273F00">
      <w:pPr>
        <w:ind w:firstLine="480"/>
        <w:rPr>
          <w:szCs w:val="24"/>
        </w:rPr>
      </w:pPr>
      <w:r>
        <w:rPr>
          <w:rFonts w:hint="eastAsia"/>
          <w:szCs w:val="24"/>
        </w:rPr>
        <w:t>4）泥炭、淤泥、强膨胀土、有机质土及易溶盐超过允许含量的土等，不得直接用于填筑路基。</w:t>
      </w:r>
    </w:p>
    <w:p w14:paraId="4BF8FA12">
      <w:pPr>
        <w:ind w:firstLine="480"/>
        <w:rPr>
          <w:szCs w:val="24"/>
        </w:rPr>
      </w:pPr>
      <w:r>
        <w:rPr>
          <w:rFonts w:hint="eastAsia"/>
          <w:szCs w:val="24"/>
        </w:rPr>
        <w:t>5）当采用细粒土填筑时，路堤填料最小强度应满足路基填料最小强度的要求。当路基填料的CBR值达不到表中要求时，可采用掺石灰或其他稳定材料进行处理。</w:t>
      </w:r>
    </w:p>
    <w:p w14:paraId="1A2BDCF5">
      <w:pPr>
        <w:ind w:firstLine="480"/>
        <w:rPr>
          <w:szCs w:val="24"/>
        </w:rPr>
      </w:pPr>
      <w:r>
        <w:rPr>
          <w:rFonts w:hint="eastAsia"/>
          <w:szCs w:val="24"/>
        </w:rPr>
        <w:t>6）液限大于50%、塑性指数大于26的细土，不得直接作为路堤填料。</w:t>
      </w:r>
    </w:p>
    <w:p w14:paraId="5EEC75B0">
      <w:pPr>
        <w:ind w:firstLine="480"/>
        <w:rPr>
          <w:szCs w:val="24"/>
        </w:rPr>
      </w:pPr>
      <w:r>
        <w:rPr>
          <w:rFonts w:hint="eastAsia"/>
          <w:szCs w:val="24"/>
        </w:rPr>
        <w:t>7）本项目路堤填料以一般粘土和砂性土为主。</w:t>
      </w:r>
    </w:p>
    <w:p w14:paraId="2588BB70">
      <w:pPr>
        <w:ind w:firstLine="480"/>
      </w:pPr>
      <w:r>
        <w:rPr>
          <w:rFonts w:hint="eastAsia"/>
        </w:rPr>
        <w:t>（</w:t>
      </w:r>
      <w:r>
        <w:t>3</w:t>
      </w:r>
      <w:r>
        <w:rPr>
          <w:rFonts w:hint="eastAsia"/>
        </w:rPr>
        <w:t>）路基压实</w:t>
      </w:r>
    </w:p>
    <w:p w14:paraId="44FE2858">
      <w:pPr>
        <w:ind w:firstLine="480"/>
        <w:rPr>
          <w:szCs w:val="24"/>
        </w:rPr>
      </w:pPr>
      <w:r>
        <w:rPr>
          <w:rFonts w:hint="eastAsia"/>
          <w:szCs w:val="24"/>
        </w:rPr>
        <w:t>1</w:t>
      </w:r>
      <w:r>
        <w:rPr>
          <w:szCs w:val="24"/>
        </w:rPr>
        <w:t>）</w:t>
      </w:r>
      <w:r>
        <w:rPr>
          <w:rFonts w:hint="eastAsia"/>
          <w:szCs w:val="24"/>
        </w:rPr>
        <w:t>路基应分层铺筑，均匀压实，压实度应符合下表的规定。当采用细粒土作为填料时，土的含水量应接近最佳含水量，当土的含水量过高时，应采取晾晒或掺入石灰、水泥等材料进行处置。</w:t>
      </w:r>
    </w:p>
    <w:p w14:paraId="76D231EA">
      <w:pPr>
        <w:ind w:firstLine="480"/>
      </w:pPr>
      <w:r>
        <w:rPr>
          <w:rFonts w:hint="eastAsia"/>
        </w:rPr>
        <w:t>2</w:t>
      </w:r>
      <w:r>
        <w:t>）</w:t>
      </w:r>
      <w:r>
        <w:rPr>
          <w:rFonts w:hint="eastAsia"/>
        </w:rPr>
        <w:t>路基回填时必须采用分层回填分层压实，压实度应满足《城市道路路基设计规范》（CJJ194-2013）的规定。</w:t>
      </w:r>
    </w:p>
    <w:p w14:paraId="72088432">
      <w:pPr>
        <w:ind w:firstLine="480"/>
      </w:pPr>
      <w:r>
        <w:rPr>
          <w:rFonts w:hint="eastAsia"/>
        </w:rPr>
        <w:t>临时道路路基设计回弹模量为20MPa，路基压实度（重型）、填料最小强度和填料粒径应符合下表要求。</w:t>
      </w:r>
    </w:p>
    <w:p w14:paraId="40741633">
      <w:pPr>
        <w:ind w:firstLine="0" w:firstLineChars="0"/>
        <w:jc w:val="center"/>
        <w:rPr>
          <w:b/>
          <w:bCs/>
        </w:rPr>
      </w:pPr>
      <w:r>
        <w:rPr>
          <w:rFonts w:hint="eastAsia"/>
          <w:b/>
          <w:bCs/>
        </w:rPr>
        <w:t>路基填料最小强度（CBR）、最大粒径和压实度</w:t>
      </w:r>
    </w:p>
    <w:tbl>
      <w:tblPr>
        <w:tblStyle w:val="88"/>
        <w:tblW w:w="4483" w:type="pct"/>
        <w:jc w:val="cente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Layout w:type="autofit"/>
        <w:tblCellMar>
          <w:top w:w="0" w:type="dxa"/>
          <w:left w:w="108" w:type="dxa"/>
          <w:bottom w:w="0" w:type="dxa"/>
          <w:right w:w="108" w:type="dxa"/>
        </w:tblCellMar>
      </w:tblPr>
      <w:tblGrid>
        <w:gridCol w:w="441"/>
        <w:gridCol w:w="974"/>
        <w:gridCol w:w="1170"/>
        <w:gridCol w:w="2319"/>
        <w:gridCol w:w="2759"/>
        <w:gridCol w:w="1376"/>
      </w:tblGrid>
      <w:tr w14:paraId="139D5FA7">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812" w:hRule="atLeast"/>
          <w:jc w:val="center"/>
        </w:trPr>
        <w:tc>
          <w:tcPr>
            <w:tcW w:w="783" w:type="pct"/>
            <w:gridSpan w:val="2"/>
            <w:tcBorders>
              <w:top w:val="single" w:color="auto" w:sz="4" w:space="0"/>
              <w:left w:val="single" w:color="auto" w:sz="4" w:space="0"/>
              <w:bottom w:val="single" w:color="auto" w:sz="4" w:space="0"/>
              <w:right w:val="single" w:color="auto" w:sz="4" w:space="0"/>
            </w:tcBorders>
            <w:vAlign w:val="center"/>
          </w:tcPr>
          <w:p w14:paraId="7AB5DC4A">
            <w:pPr>
              <w:spacing w:line="240" w:lineRule="auto"/>
              <w:ind w:firstLine="0" w:firstLineChars="0"/>
              <w:jc w:val="center"/>
              <w:rPr>
                <w:bCs/>
                <w:sz w:val="21"/>
                <w:szCs w:val="21"/>
              </w:rPr>
            </w:pPr>
            <w:r>
              <w:rPr>
                <w:rFonts w:hint="eastAsia"/>
                <w:bCs/>
                <w:sz w:val="21"/>
                <w:szCs w:val="21"/>
              </w:rPr>
              <w:t>项目分类</w:t>
            </w:r>
          </w:p>
        </w:tc>
        <w:tc>
          <w:tcPr>
            <w:tcW w:w="647" w:type="pct"/>
            <w:tcBorders>
              <w:top w:val="single" w:color="auto" w:sz="4" w:space="0"/>
              <w:left w:val="single" w:color="auto" w:sz="4" w:space="0"/>
              <w:bottom w:val="single" w:color="auto" w:sz="4" w:space="0"/>
              <w:right w:val="single" w:color="auto" w:sz="4" w:space="0"/>
            </w:tcBorders>
            <w:vAlign w:val="center"/>
          </w:tcPr>
          <w:p w14:paraId="7CF86731">
            <w:pPr>
              <w:spacing w:line="240" w:lineRule="auto"/>
              <w:ind w:firstLine="0" w:firstLineChars="0"/>
              <w:jc w:val="center"/>
              <w:rPr>
                <w:bCs/>
                <w:sz w:val="21"/>
                <w:szCs w:val="21"/>
              </w:rPr>
            </w:pPr>
            <w:r>
              <w:rPr>
                <w:rFonts w:hint="eastAsia"/>
                <w:bCs/>
                <w:sz w:val="21"/>
                <w:szCs w:val="21"/>
              </w:rPr>
              <w:t>路床顶面以下深度（m）</w:t>
            </w:r>
          </w:p>
        </w:tc>
        <w:tc>
          <w:tcPr>
            <w:tcW w:w="1283" w:type="pct"/>
            <w:tcBorders>
              <w:top w:val="single" w:color="auto" w:sz="4" w:space="0"/>
              <w:left w:val="single" w:color="auto" w:sz="4" w:space="0"/>
              <w:right w:val="single" w:color="auto" w:sz="4" w:space="0"/>
            </w:tcBorders>
            <w:vAlign w:val="center"/>
          </w:tcPr>
          <w:p w14:paraId="62C073F8">
            <w:pPr>
              <w:spacing w:line="240" w:lineRule="auto"/>
              <w:ind w:firstLine="0" w:firstLineChars="0"/>
              <w:jc w:val="center"/>
              <w:rPr>
                <w:bCs/>
                <w:sz w:val="21"/>
                <w:szCs w:val="21"/>
              </w:rPr>
            </w:pPr>
            <w:r>
              <w:rPr>
                <w:rFonts w:hint="eastAsia"/>
                <w:bCs/>
                <w:sz w:val="21"/>
                <w:szCs w:val="21"/>
              </w:rPr>
              <w:t>填料最小强度（CBR）（%）</w:t>
            </w:r>
          </w:p>
        </w:tc>
        <w:tc>
          <w:tcPr>
            <w:tcW w:w="1526" w:type="pct"/>
            <w:tcBorders>
              <w:top w:val="single" w:color="auto" w:sz="4" w:space="0"/>
              <w:left w:val="single" w:color="auto" w:sz="4" w:space="0"/>
              <w:right w:val="single" w:color="auto" w:sz="4" w:space="0"/>
            </w:tcBorders>
            <w:vAlign w:val="center"/>
          </w:tcPr>
          <w:p w14:paraId="6BEDAE20">
            <w:pPr>
              <w:spacing w:line="240" w:lineRule="auto"/>
              <w:ind w:firstLine="0" w:firstLineChars="0"/>
              <w:jc w:val="center"/>
              <w:rPr>
                <w:bCs/>
                <w:sz w:val="21"/>
                <w:szCs w:val="21"/>
              </w:rPr>
            </w:pPr>
            <w:r>
              <w:rPr>
                <w:rFonts w:hint="eastAsia"/>
                <w:bCs/>
                <w:sz w:val="21"/>
                <w:szCs w:val="21"/>
              </w:rPr>
              <w:t>压实度（%）</w:t>
            </w:r>
          </w:p>
        </w:tc>
        <w:tc>
          <w:tcPr>
            <w:tcW w:w="761" w:type="pct"/>
            <w:tcBorders>
              <w:top w:val="single" w:color="auto" w:sz="4" w:space="0"/>
              <w:left w:val="single" w:color="auto" w:sz="4" w:space="0"/>
              <w:bottom w:val="single" w:color="auto" w:sz="4" w:space="0"/>
              <w:right w:val="single" w:color="auto" w:sz="4" w:space="0"/>
            </w:tcBorders>
            <w:vAlign w:val="center"/>
          </w:tcPr>
          <w:p w14:paraId="258D74EC">
            <w:pPr>
              <w:spacing w:line="240" w:lineRule="auto"/>
              <w:ind w:firstLine="0" w:firstLineChars="0"/>
              <w:jc w:val="center"/>
              <w:rPr>
                <w:bCs/>
                <w:sz w:val="21"/>
                <w:szCs w:val="21"/>
              </w:rPr>
            </w:pPr>
            <w:r>
              <w:rPr>
                <w:rFonts w:hint="eastAsia"/>
                <w:bCs/>
                <w:sz w:val="21"/>
                <w:szCs w:val="21"/>
              </w:rPr>
              <w:t>填料最大粒径（mm）</w:t>
            </w:r>
          </w:p>
        </w:tc>
      </w:tr>
      <w:tr w14:paraId="3CD7DFA4">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244" w:type="pct"/>
            <w:vMerge w:val="restart"/>
            <w:tcBorders>
              <w:top w:val="single" w:color="auto" w:sz="4" w:space="0"/>
              <w:left w:val="single" w:color="auto" w:sz="4" w:space="0"/>
              <w:bottom w:val="single" w:color="auto" w:sz="4" w:space="0"/>
              <w:right w:val="single" w:color="auto" w:sz="4" w:space="0"/>
            </w:tcBorders>
            <w:vAlign w:val="center"/>
          </w:tcPr>
          <w:p w14:paraId="405A71DF">
            <w:pPr>
              <w:spacing w:line="240" w:lineRule="auto"/>
              <w:ind w:firstLine="0" w:firstLineChars="0"/>
              <w:jc w:val="center"/>
              <w:rPr>
                <w:bCs/>
                <w:sz w:val="21"/>
                <w:szCs w:val="21"/>
              </w:rPr>
            </w:pPr>
            <w:r>
              <w:rPr>
                <w:rFonts w:hint="eastAsia"/>
                <w:bCs/>
                <w:sz w:val="21"/>
                <w:szCs w:val="21"/>
              </w:rPr>
              <w:t>填</w:t>
            </w:r>
          </w:p>
          <w:p w14:paraId="20D91768">
            <w:pPr>
              <w:spacing w:line="240" w:lineRule="auto"/>
              <w:ind w:firstLine="0" w:firstLineChars="0"/>
              <w:jc w:val="center"/>
              <w:rPr>
                <w:bCs/>
                <w:sz w:val="21"/>
                <w:szCs w:val="21"/>
              </w:rPr>
            </w:pPr>
            <w:r>
              <w:rPr>
                <w:rFonts w:hint="eastAsia"/>
                <w:bCs/>
                <w:sz w:val="21"/>
                <w:szCs w:val="21"/>
              </w:rPr>
              <w:t>方</w:t>
            </w:r>
          </w:p>
          <w:p w14:paraId="64739660">
            <w:pPr>
              <w:spacing w:line="240" w:lineRule="auto"/>
              <w:ind w:firstLine="0" w:firstLineChars="0"/>
              <w:jc w:val="center"/>
              <w:rPr>
                <w:bCs/>
                <w:sz w:val="21"/>
                <w:szCs w:val="21"/>
              </w:rPr>
            </w:pPr>
            <w:r>
              <w:rPr>
                <w:rFonts w:hint="eastAsia"/>
                <w:bCs/>
                <w:sz w:val="21"/>
                <w:szCs w:val="21"/>
              </w:rPr>
              <w:t>路</w:t>
            </w:r>
          </w:p>
          <w:p w14:paraId="55C0279E">
            <w:pPr>
              <w:spacing w:line="240" w:lineRule="auto"/>
              <w:ind w:firstLine="0" w:firstLineChars="0"/>
              <w:jc w:val="center"/>
              <w:rPr>
                <w:bCs/>
                <w:sz w:val="21"/>
                <w:szCs w:val="21"/>
              </w:rPr>
            </w:pPr>
            <w:r>
              <w:rPr>
                <w:rFonts w:hint="eastAsia"/>
                <w:bCs/>
                <w:sz w:val="21"/>
                <w:szCs w:val="21"/>
              </w:rPr>
              <w:t>堤</w:t>
            </w:r>
          </w:p>
        </w:tc>
        <w:tc>
          <w:tcPr>
            <w:tcW w:w="539" w:type="pct"/>
            <w:tcBorders>
              <w:top w:val="single" w:color="auto" w:sz="4" w:space="0"/>
              <w:left w:val="single" w:color="auto" w:sz="4" w:space="0"/>
              <w:bottom w:val="single" w:color="auto" w:sz="4" w:space="0"/>
              <w:right w:val="single" w:color="auto" w:sz="4" w:space="0"/>
            </w:tcBorders>
            <w:vAlign w:val="center"/>
          </w:tcPr>
          <w:p w14:paraId="6815C170">
            <w:pPr>
              <w:spacing w:line="240" w:lineRule="auto"/>
              <w:ind w:firstLine="0" w:firstLineChars="0"/>
              <w:jc w:val="center"/>
              <w:rPr>
                <w:bCs/>
                <w:sz w:val="21"/>
                <w:szCs w:val="21"/>
              </w:rPr>
            </w:pPr>
            <w:r>
              <w:rPr>
                <w:rFonts w:hint="eastAsia"/>
                <w:bCs/>
                <w:sz w:val="21"/>
                <w:szCs w:val="21"/>
              </w:rPr>
              <w:t>上路床</w:t>
            </w:r>
          </w:p>
        </w:tc>
        <w:tc>
          <w:tcPr>
            <w:tcW w:w="647" w:type="pct"/>
            <w:tcBorders>
              <w:top w:val="single" w:color="auto" w:sz="4" w:space="0"/>
              <w:left w:val="single" w:color="auto" w:sz="4" w:space="0"/>
              <w:bottom w:val="single" w:color="auto" w:sz="4" w:space="0"/>
              <w:right w:val="single" w:color="auto" w:sz="4" w:space="0"/>
            </w:tcBorders>
            <w:vAlign w:val="center"/>
          </w:tcPr>
          <w:p w14:paraId="0762D087">
            <w:pPr>
              <w:spacing w:line="240" w:lineRule="auto"/>
              <w:ind w:firstLine="0" w:firstLineChars="0"/>
              <w:jc w:val="center"/>
              <w:rPr>
                <w:bCs/>
                <w:sz w:val="21"/>
                <w:szCs w:val="21"/>
              </w:rPr>
            </w:pPr>
            <w:r>
              <w:rPr>
                <w:rFonts w:hint="eastAsia"/>
                <w:bCs/>
                <w:sz w:val="21"/>
                <w:szCs w:val="21"/>
              </w:rPr>
              <w:t>0～0.3</w:t>
            </w:r>
          </w:p>
        </w:tc>
        <w:tc>
          <w:tcPr>
            <w:tcW w:w="1283" w:type="pct"/>
            <w:tcBorders>
              <w:top w:val="single" w:color="auto" w:sz="4" w:space="0"/>
              <w:left w:val="single" w:color="auto" w:sz="4" w:space="0"/>
              <w:bottom w:val="single" w:color="auto" w:sz="4" w:space="0"/>
              <w:right w:val="single" w:color="auto" w:sz="4" w:space="0"/>
            </w:tcBorders>
            <w:vAlign w:val="center"/>
          </w:tcPr>
          <w:p w14:paraId="008FF484">
            <w:pPr>
              <w:spacing w:line="240" w:lineRule="auto"/>
              <w:ind w:firstLine="0" w:firstLineChars="0"/>
              <w:jc w:val="center"/>
              <w:rPr>
                <w:bCs/>
                <w:sz w:val="21"/>
                <w:szCs w:val="21"/>
              </w:rPr>
            </w:pPr>
            <w:r>
              <w:rPr>
                <w:rFonts w:hint="eastAsia"/>
                <w:bCs/>
                <w:sz w:val="21"/>
                <w:szCs w:val="21"/>
              </w:rPr>
              <w:t>5</w:t>
            </w:r>
          </w:p>
        </w:tc>
        <w:tc>
          <w:tcPr>
            <w:tcW w:w="1526" w:type="pct"/>
            <w:tcBorders>
              <w:top w:val="single" w:color="auto" w:sz="4" w:space="0"/>
              <w:left w:val="single" w:color="auto" w:sz="4" w:space="0"/>
              <w:bottom w:val="single" w:color="auto" w:sz="4" w:space="0"/>
              <w:right w:val="single" w:color="auto" w:sz="4" w:space="0"/>
            </w:tcBorders>
            <w:vAlign w:val="center"/>
          </w:tcPr>
          <w:p w14:paraId="73757F75">
            <w:pPr>
              <w:spacing w:line="240" w:lineRule="auto"/>
              <w:ind w:firstLine="0" w:firstLineChars="0"/>
              <w:jc w:val="center"/>
              <w:rPr>
                <w:bCs/>
                <w:sz w:val="21"/>
                <w:szCs w:val="21"/>
              </w:rPr>
            </w:pPr>
            <w:r>
              <w:rPr>
                <w:rFonts w:hint="eastAsia"/>
                <w:bCs/>
                <w:sz w:val="21"/>
                <w:szCs w:val="21"/>
              </w:rPr>
              <w:t>≥92</w:t>
            </w:r>
          </w:p>
        </w:tc>
        <w:tc>
          <w:tcPr>
            <w:tcW w:w="761" w:type="pct"/>
            <w:tcBorders>
              <w:top w:val="single" w:color="auto" w:sz="4" w:space="0"/>
              <w:left w:val="single" w:color="auto" w:sz="4" w:space="0"/>
              <w:bottom w:val="single" w:color="auto" w:sz="4" w:space="0"/>
              <w:right w:val="single" w:color="auto" w:sz="4" w:space="0"/>
            </w:tcBorders>
            <w:vAlign w:val="center"/>
          </w:tcPr>
          <w:p w14:paraId="754FA422">
            <w:pPr>
              <w:spacing w:line="240" w:lineRule="auto"/>
              <w:ind w:firstLine="0" w:firstLineChars="0"/>
              <w:jc w:val="center"/>
              <w:rPr>
                <w:bCs/>
                <w:sz w:val="21"/>
                <w:szCs w:val="21"/>
              </w:rPr>
            </w:pPr>
            <w:r>
              <w:rPr>
                <w:rFonts w:hint="eastAsia"/>
                <w:bCs/>
                <w:sz w:val="21"/>
                <w:szCs w:val="21"/>
              </w:rPr>
              <w:t>100</w:t>
            </w:r>
          </w:p>
        </w:tc>
      </w:tr>
      <w:tr w14:paraId="700435D4">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244" w:type="pct"/>
            <w:vMerge w:val="continue"/>
            <w:tcBorders>
              <w:top w:val="single" w:color="auto" w:sz="4" w:space="0"/>
              <w:left w:val="single" w:color="auto" w:sz="4" w:space="0"/>
              <w:bottom w:val="single" w:color="auto" w:sz="4" w:space="0"/>
              <w:right w:val="single" w:color="auto" w:sz="4" w:space="0"/>
            </w:tcBorders>
            <w:vAlign w:val="center"/>
          </w:tcPr>
          <w:p w14:paraId="11CC0F6B">
            <w:pPr>
              <w:spacing w:line="240" w:lineRule="auto"/>
              <w:ind w:firstLine="0" w:firstLineChars="0"/>
              <w:jc w:val="center"/>
              <w:rPr>
                <w:bCs/>
                <w:sz w:val="21"/>
                <w:szCs w:val="21"/>
              </w:rPr>
            </w:pPr>
          </w:p>
        </w:tc>
        <w:tc>
          <w:tcPr>
            <w:tcW w:w="539" w:type="pct"/>
            <w:tcBorders>
              <w:top w:val="single" w:color="auto" w:sz="4" w:space="0"/>
              <w:left w:val="single" w:color="auto" w:sz="4" w:space="0"/>
              <w:bottom w:val="single" w:color="auto" w:sz="4" w:space="0"/>
              <w:right w:val="single" w:color="auto" w:sz="4" w:space="0"/>
            </w:tcBorders>
            <w:vAlign w:val="center"/>
          </w:tcPr>
          <w:p w14:paraId="2BD270E3">
            <w:pPr>
              <w:spacing w:line="240" w:lineRule="auto"/>
              <w:ind w:firstLine="0" w:firstLineChars="0"/>
              <w:jc w:val="center"/>
              <w:rPr>
                <w:bCs/>
                <w:sz w:val="21"/>
                <w:szCs w:val="21"/>
              </w:rPr>
            </w:pPr>
            <w:r>
              <w:rPr>
                <w:rFonts w:hint="eastAsia"/>
                <w:bCs/>
                <w:sz w:val="21"/>
                <w:szCs w:val="21"/>
              </w:rPr>
              <w:t>下路床</w:t>
            </w:r>
          </w:p>
        </w:tc>
        <w:tc>
          <w:tcPr>
            <w:tcW w:w="647" w:type="pct"/>
            <w:tcBorders>
              <w:top w:val="single" w:color="auto" w:sz="4" w:space="0"/>
              <w:left w:val="single" w:color="auto" w:sz="4" w:space="0"/>
              <w:bottom w:val="single" w:color="auto" w:sz="4" w:space="0"/>
              <w:right w:val="single" w:color="auto" w:sz="4" w:space="0"/>
            </w:tcBorders>
            <w:vAlign w:val="center"/>
          </w:tcPr>
          <w:p w14:paraId="4030272C">
            <w:pPr>
              <w:spacing w:line="240" w:lineRule="auto"/>
              <w:ind w:firstLine="0" w:firstLineChars="0"/>
              <w:jc w:val="center"/>
              <w:rPr>
                <w:bCs/>
                <w:sz w:val="21"/>
                <w:szCs w:val="21"/>
              </w:rPr>
            </w:pPr>
            <w:r>
              <w:rPr>
                <w:rFonts w:hint="eastAsia"/>
                <w:bCs/>
                <w:sz w:val="21"/>
                <w:szCs w:val="21"/>
              </w:rPr>
              <w:t>0.3～0.8</w:t>
            </w:r>
          </w:p>
        </w:tc>
        <w:tc>
          <w:tcPr>
            <w:tcW w:w="1283" w:type="pct"/>
            <w:tcBorders>
              <w:top w:val="single" w:color="auto" w:sz="4" w:space="0"/>
              <w:left w:val="single" w:color="auto" w:sz="4" w:space="0"/>
              <w:bottom w:val="single" w:color="auto" w:sz="4" w:space="0"/>
              <w:right w:val="single" w:color="auto" w:sz="4" w:space="0"/>
            </w:tcBorders>
            <w:vAlign w:val="center"/>
          </w:tcPr>
          <w:p w14:paraId="6DF6089D">
            <w:pPr>
              <w:spacing w:line="240" w:lineRule="auto"/>
              <w:ind w:firstLine="0" w:firstLineChars="0"/>
              <w:jc w:val="center"/>
              <w:rPr>
                <w:bCs/>
                <w:sz w:val="21"/>
                <w:szCs w:val="21"/>
              </w:rPr>
            </w:pPr>
            <w:r>
              <w:rPr>
                <w:rFonts w:hint="eastAsia"/>
                <w:bCs/>
                <w:sz w:val="21"/>
                <w:szCs w:val="21"/>
              </w:rPr>
              <w:t>3</w:t>
            </w:r>
          </w:p>
        </w:tc>
        <w:tc>
          <w:tcPr>
            <w:tcW w:w="1526" w:type="pct"/>
            <w:tcBorders>
              <w:top w:val="single" w:color="auto" w:sz="4" w:space="0"/>
              <w:left w:val="single" w:color="auto" w:sz="4" w:space="0"/>
              <w:bottom w:val="single" w:color="auto" w:sz="4" w:space="0"/>
              <w:right w:val="single" w:color="auto" w:sz="4" w:space="0"/>
            </w:tcBorders>
            <w:vAlign w:val="center"/>
          </w:tcPr>
          <w:p w14:paraId="3696C99F">
            <w:pPr>
              <w:spacing w:line="240" w:lineRule="auto"/>
              <w:ind w:firstLine="0" w:firstLineChars="0"/>
              <w:jc w:val="center"/>
              <w:rPr>
                <w:bCs/>
                <w:sz w:val="21"/>
                <w:szCs w:val="21"/>
              </w:rPr>
            </w:pPr>
            <w:r>
              <w:rPr>
                <w:rFonts w:hint="eastAsia"/>
                <w:bCs/>
                <w:sz w:val="21"/>
                <w:szCs w:val="21"/>
              </w:rPr>
              <w:t>≥9</w:t>
            </w:r>
            <w:r>
              <w:rPr>
                <w:bCs/>
                <w:sz w:val="21"/>
                <w:szCs w:val="21"/>
              </w:rPr>
              <w:t>2</w:t>
            </w:r>
          </w:p>
        </w:tc>
        <w:tc>
          <w:tcPr>
            <w:tcW w:w="761" w:type="pct"/>
            <w:tcBorders>
              <w:top w:val="single" w:color="auto" w:sz="4" w:space="0"/>
              <w:left w:val="single" w:color="auto" w:sz="4" w:space="0"/>
              <w:bottom w:val="single" w:color="auto" w:sz="4" w:space="0"/>
              <w:right w:val="single" w:color="auto" w:sz="4" w:space="0"/>
            </w:tcBorders>
            <w:vAlign w:val="center"/>
          </w:tcPr>
          <w:p w14:paraId="56E84D18">
            <w:pPr>
              <w:spacing w:line="240" w:lineRule="auto"/>
              <w:ind w:firstLine="0" w:firstLineChars="0"/>
              <w:jc w:val="center"/>
              <w:rPr>
                <w:bCs/>
                <w:sz w:val="21"/>
                <w:szCs w:val="21"/>
              </w:rPr>
            </w:pPr>
            <w:r>
              <w:rPr>
                <w:rFonts w:hint="eastAsia"/>
                <w:bCs/>
                <w:sz w:val="21"/>
                <w:szCs w:val="21"/>
              </w:rPr>
              <w:t>100</w:t>
            </w:r>
          </w:p>
        </w:tc>
      </w:tr>
      <w:tr w14:paraId="721FB416">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244" w:type="pct"/>
            <w:vMerge w:val="continue"/>
            <w:tcBorders>
              <w:top w:val="single" w:color="auto" w:sz="4" w:space="0"/>
              <w:left w:val="single" w:color="auto" w:sz="4" w:space="0"/>
              <w:bottom w:val="single" w:color="auto" w:sz="4" w:space="0"/>
              <w:right w:val="single" w:color="auto" w:sz="4" w:space="0"/>
            </w:tcBorders>
            <w:vAlign w:val="center"/>
          </w:tcPr>
          <w:p w14:paraId="540FE4DE">
            <w:pPr>
              <w:spacing w:line="240" w:lineRule="auto"/>
              <w:ind w:firstLine="0" w:firstLineChars="0"/>
              <w:jc w:val="center"/>
              <w:rPr>
                <w:bCs/>
                <w:sz w:val="21"/>
                <w:szCs w:val="21"/>
              </w:rPr>
            </w:pPr>
          </w:p>
        </w:tc>
        <w:tc>
          <w:tcPr>
            <w:tcW w:w="539" w:type="pct"/>
            <w:tcBorders>
              <w:top w:val="single" w:color="auto" w:sz="4" w:space="0"/>
              <w:left w:val="single" w:color="auto" w:sz="4" w:space="0"/>
              <w:bottom w:val="single" w:color="auto" w:sz="4" w:space="0"/>
              <w:right w:val="single" w:color="auto" w:sz="4" w:space="0"/>
            </w:tcBorders>
            <w:vAlign w:val="center"/>
          </w:tcPr>
          <w:p w14:paraId="5917DE71">
            <w:pPr>
              <w:spacing w:line="240" w:lineRule="auto"/>
              <w:ind w:firstLine="0" w:firstLineChars="0"/>
              <w:jc w:val="center"/>
              <w:rPr>
                <w:bCs/>
                <w:sz w:val="21"/>
                <w:szCs w:val="21"/>
              </w:rPr>
            </w:pPr>
            <w:r>
              <w:rPr>
                <w:rFonts w:hint="eastAsia"/>
                <w:bCs/>
                <w:sz w:val="21"/>
                <w:szCs w:val="21"/>
              </w:rPr>
              <w:t>上路堤</w:t>
            </w:r>
          </w:p>
        </w:tc>
        <w:tc>
          <w:tcPr>
            <w:tcW w:w="647" w:type="pct"/>
            <w:tcBorders>
              <w:top w:val="single" w:color="auto" w:sz="4" w:space="0"/>
              <w:left w:val="single" w:color="auto" w:sz="4" w:space="0"/>
              <w:bottom w:val="single" w:color="auto" w:sz="4" w:space="0"/>
              <w:right w:val="single" w:color="auto" w:sz="4" w:space="0"/>
            </w:tcBorders>
            <w:vAlign w:val="center"/>
          </w:tcPr>
          <w:p w14:paraId="216EECB1">
            <w:pPr>
              <w:spacing w:line="240" w:lineRule="auto"/>
              <w:ind w:firstLine="0" w:firstLineChars="0"/>
              <w:jc w:val="center"/>
              <w:rPr>
                <w:bCs/>
                <w:sz w:val="21"/>
                <w:szCs w:val="21"/>
              </w:rPr>
            </w:pPr>
            <w:r>
              <w:rPr>
                <w:rFonts w:hint="eastAsia"/>
                <w:bCs/>
                <w:sz w:val="21"/>
                <w:szCs w:val="21"/>
              </w:rPr>
              <w:t>0.8～1.5</w:t>
            </w:r>
          </w:p>
        </w:tc>
        <w:tc>
          <w:tcPr>
            <w:tcW w:w="1283" w:type="pct"/>
            <w:tcBorders>
              <w:top w:val="single" w:color="auto" w:sz="4" w:space="0"/>
              <w:left w:val="single" w:color="auto" w:sz="4" w:space="0"/>
              <w:bottom w:val="single" w:color="auto" w:sz="4" w:space="0"/>
              <w:right w:val="single" w:color="auto" w:sz="4" w:space="0"/>
            </w:tcBorders>
            <w:vAlign w:val="center"/>
          </w:tcPr>
          <w:p w14:paraId="4F65BF9F">
            <w:pPr>
              <w:spacing w:line="240" w:lineRule="auto"/>
              <w:ind w:firstLine="0" w:firstLineChars="0"/>
              <w:jc w:val="center"/>
              <w:rPr>
                <w:bCs/>
                <w:sz w:val="21"/>
                <w:szCs w:val="21"/>
              </w:rPr>
            </w:pPr>
            <w:r>
              <w:rPr>
                <w:rFonts w:hint="eastAsia"/>
                <w:bCs/>
                <w:sz w:val="21"/>
                <w:szCs w:val="21"/>
              </w:rPr>
              <w:t>3</w:t>
            </w:r>
          </w:p>
        </w:tc>
        <w:tc>
          <w:tcPr>
            <w:tcW w:w="1526" w:type="pct"/>
            <w:tcBorders>
              <w:top w:val="single" w:color="auto" w:sz="4" w:space="0"/>
              <w:left w:val="single" w:color="auto" w:sz="4" w:space="0"/>
              <w:bottom w:val="single" w:color="auto" w:sz="4" w:space="0"/>
              <w:right w:val="single" w:color="auto" w:sz="4" w:space="0"/>
            </w:tcBorders>
            <w:vAlign w:val="center"/>
          </w:tcPr>
          <w:p w14:paraId="76D4879D">
            <w:pPr>
              <w:spacing w:line="240" w:lineRule="auto"/>
              <w:ind w:firstLine="0" w:firstLineChars="0"/>
              <w:jc w:val="center"/>
              <w:rPr>
                <w:bCs/>
                <w:sz w:val="21"/>
                <w:szCs w:val="21"/>
              </w:rPr>
            </w:pPr>
            <w:r>
              <w:rPr>
                <w:rFonts w:hint="eastAsia"/>
                <w:bCs/>
                <w:sz w:val="21"/>
                <w:szCs w:val="21"/>
              </w:rPr>
              <w:t>≥91</w:t>
            </w:r>
          </w:p>
        </w:tc>
        <w:tc>
          <w:tcPr>
            <w:tcW w:w="761" w:type="pct"/>
            <w:tcBorders>
              <w:top w:val="single" w:color="auto" w:sz="4" w:space="0"/>
              <w:left w:val="single" w:color="auto" w:sz="4" w:space="0"/>
              <w:bottom w:val="single" w:color="auto" w:sz="4" w:space="0"/>
              <w:right w:val="single" w:color="auto" w:sz="4" w:space="0"/>
            </w:tcBorders>
            <w:vAlign w:val="center"/>
          </w:tcPr>
          <w:p w14:paraId="183D7D84">
            <w:pPr>
              <w:spacing w:line="240" w:lineRule="auto"/>
              <w:ind w:firstLine="0" w:firstLineChars="0"/>
              <w:jc w:val="center"/>
              <w:rPr>
                <w:bCs/>
                <w:sz w:val="21"/>
                <w:szCs w:val="21"/>
              </w:rPr>
            </w:pPr>
            <w:r>
              <w:rPr>
                <w:rFonts w:hint="eastAsia"/>
                <w:bCs/>
                <w:sz w:val="21"/>
                <w:szCs w:val="21"/>
              </w:rPr>
              <w:t>150</w:t>
            </w:r>
          </w:p>
        </w:tc>
      </w:tr>
      <w:tr w14:paraId="149AE7FE">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244" w:type="pct"/>
            <w:vMerge w:val="continue"/>
            <w:tcBorders>
              <w:top w:val="single" w:color="auto" w:sz="4" w:space="0"/>
              <w:left w:val="single" w:color="auto" w:sz="4" w:space="0"/>
              <w:bottom w:val="single" w:color="auto" w:sz="4" w:space="0"/>
              <w:right w:val="single" w:color="auto" w:sz="4" w:space="0"/>
            </w:tcBorders>
            <w:vAlign w:val="center"/>
          </w:tcPr>
          <w:p w14:paraId="0D41FAEE">
            <w:pPr>
              <w:spacing w:line="240" w:lineRule="auto"/>
              <w:ind w:firstLine="0" w:firstLineChars="0"/>
              <w:jc w:val="center"/>
              <w:rPr>
                <w:bCs/>
                <w:sz w:val="21"/>
                <w:szCs w:val="21"/>
              </w:rPr>
            </w:pPr>
          </w:p>
        </w:tc>
        <w:tc>
          <w:tcPr>
            <w:tcW w:w="539" w:type="pct"/>
            <w:tcBorders>
              <w:top w:val="single" w:color="auto" w:sz="4" w:space="0"/>
              <w:left w:val="single" w:color="auto" w:sz="4" w:space="0"/>
              <w:bottom w:val="single" w:color="auto" w:sz="4" w:space="0"/>
              <w:right w:val="single" w:color="auto" w:sz="4" w:space="0"/>
            </w:tcBorders>
            <w:vAlign w:val="center"/>
          </w:tcPr>
          <w:p w14:paraId="084C1501">
            <w:pPr>
              <w:spacing w:line="240" w:lineRule="auto"/>
              <w:ind w:firstLine="0" w:firstLineChars="0"/>
              <w:jc w:val="center"/>
              <w:rPr>
                <w:bCs/>
                <w:sz w:val="21"/>
                <w:szCs w:val="21"/>
              </w:rPr>
            </w:pPr>
            <w:r>
              <w:rPr>
                <w:rFonts w:hint="eastAsia"/>
                <w:bCs/>
                <w:sz w:val="21"/>
                <w:szCs w:val="21"/>
              </w:rPr>
              <w:t>下路堤</w:t>
            </w:r>
          </w:p>
        </w:tc>
        <w:tc>
          <w:tcPr>
            <w:tcW w:w="647" w:type="pct"/>
            <w:tcBorders>
              <w:top w:val="single" w:color="auto" w:sz="4" w:space="0"/>
              <w:left w:val="single" w:color="auto" w:sz="4" w:space="0"/>
              <w:bottom w:val="single" w:color="auto" w:sz="4" w:space="0"/>
              <w:right w:val="single" w:color="auto" w:sz="4" w:space="0"/>
            </w:tcBorders>
            <w:vAlign w:val="center"/>
          </w:tcPr>
          <w:p w14:paraId="3162A462">
            <w:pPr>
              <w:spacing w:line="240" w:lineRule="auto"/>
              <w:ind w:firstLine="0" w:firstLineChars="0"/>
              <w:jc w:val="center"/>
              <w:rPr>
                <w:bCs/>
                <w:sz w:val="21"/>
                <w:szCs w:val="21"/>
              </w:rPr>
            </w:pPr>
            <w:r>
              <w:rPr>
                <w:rFonts w:hint="eastAsia"/>
                <w:bCs/>
                <w:sz w:val="21"/>
                <w:szCs w:val="21"/>
              </w:rPr>
              <w:t>1.5以下</w:t>
            </w:r>
          </w:p>
        </w:tc>
        <w:tc>
          <w:tcPr>
            <w:tcW w:w="1283" w:type="pct"/>
            <w:tcBorders>
              <w:top w:val="single" w:color="auto" w:sz="4" w:space="0"/>
              <w:left w:val="single" w:color="auto" w:sz="4" w:space="0"/>
              <w:bottom w:val="single" w:color="auto" w:sz="4" w:space="0"/>
              <w:right w:val="single" w:color="auto" w:sz="4" w:space="0"/>
            </w:tcBorders>
            <w:vAlign w:val="center"/>
          </w:tcPr>
          <w:p w14:paraId="7D5546DE">
            <w:pPr>
              <w:spacing w:line="240" w:lineRule="auto"/>
              <w:ind w:firstLine="0" w:firstLineChars="0"/>
              <w:jc w:val="center"/>
              <w:rPr>
                <w:bCs/>
                <w:sz w:val="21"/>
                <w:szCs w:val="21"/>
              </w:rPr>
            </w:pPr>
            <w:r>
              <w:rPr>
                <w:rFonts w:hint="eastAsia"/>
                <w:bCs/>
                <w:sz w:val="21"/>
                <w:szCs w:val="21"/>
              </w:rPr>
              <w:t>2</w:t>
            </w:r>
          </w:p>
        </w:tc>
        <w:tc>
          <w:tcPr>
            <w:tcW w:w="1526" w:type="pct"/>
            <w:tcBorders>
              <w:top w:val="single" w:color="auto" w:sz="4" w:space="0"/>
              <w:left w:val="single" w:color="auto" w:sz="4" w:space="0"/>
              <w:bottom w:val="single" w:color="auto" w:sz="4" w:space="0"/>
              <w:right w:val="single" w:color="auto" w:sz="4" w:space="0"/>
            </w:tcBorders>
            <w:vAlign w:val="center"/>
          </w:tcPr>
          <w:p w14:paraId="009B38BC">
            <w:pPr>
              <w:spacing w:line="240" w:lineRule="auto"/>
              <w:ind w:firstLine="0" w:firstLineChars="0"/>
              <w:jc w:val="center"/>
              <w:rPr>
                <w:bCs/>
                <w:sz w:val="21"/>
                <w:szCs w:val="21"/>
              </w:rPr>
            </w:pPr>
            <w:r>
              <w:rPr>
                <w:rFonts w:hint="eastAsia"/>
                <w:bCs/>
                <w:sz w:val="21"/>
                <w:szCs w:val="21"/>
              </w:rPr>
              <w:t>≥90</w:t>
            </w:r>
          </w:p>
        </w:tc>
        <w:tc>
          <w:tcPr>
            <w:tcW w:w="761" w:type="pct"/>
            <w:tcBorders>
              <w:top w:val="single" w:color="auto" w:sz="4" w:space="0"/>
              <w:left w:val="single" w:color="auto" w:sz="4" w:space="0"/>
              <w:bottom w:val="single" w:color="auto" w:sz="4" w:space="0"/>
              <w:right w:val="single" w:color="auto" w:sz="4" w:space="0"/>
            </w:tcBorders>
            <w:vAlign w:val="center"/>
          </w:tcPr>
          <w:p w14:paraId="507D7AF1">
            <w:pPr>
              <w:spacing w:line="240" w:lineRule="auto"/>
              <w:ind w:firstLine="0" w:firstLineChars="0"/>
              <w:jc w:val="center"/>
              <w:rPr>
                <w:bCs/>
                <w:sz w:val="21"/>
                <w:szCs w:val="21"/>
              </w:rPr>
            </w:pPr>
            <w:r>
              <w:rPr>
                <w:rFonts w:hint="eastAsia"/>
                <w:bCs/>
                <w:sz w:val="21"/>
                <w:szCs w:val="21"/>
              </w:rPr>
              <w:t>150</w:t>
            </w:r>
          </w:p>
        </w:tc>
      </w:tr>
      <w:tr w14:paraId="2F57E78C">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83" w:type="pct"/>
            <w:gridSpan w:val="2"/>
            <w:vMerge w:val="restart"/>
            <w:tcBorders>
              <w:top w:val="single" w:color="auto" w:sz="4" w:space="0"/>
              <w:left w:val="single" w:color="auto" w:sz="4" w:space="0"/>
              <w:right w:val="single" w:color="auto" w:sz="4" w:space="0"/>
            </w:tcBorders>
            <w:vAlign w:val="center"/>
          </w:tcPr>
          <w:p w14:paraId="6D270D1B">
            <w:pPr>
              <w:spacing w:line="240" w:lineRule="auto"/>
              <w:ind w:firstLine="0" w:firstLineChars="0"/>
              <w:jc w:val="center"/>
              <w:rPr>
                <w:bCs/>
                <w:sz w:val="21"/>
                <w:szCs w:val="21"/>
              </w:rPr>
            </w:pPr>
            <w:r>
              <w:rPr>
                <w:rFonts w:hint="eastAsia"/>
                <w:bCs/>
                <w:sz w:val="21"/>
                <w:szCs w:val="21"/>
              </w:rPr>
              <w:t>零填及挖方路基</w:t>
            </w:r>
          </w:p>
        </w:tc>
        <w:tc>
          <w:tcPr>
            <w:tcW w:w="647" w:type="pct"/>
            <w:tcBorders>
              <w:top w:val="single" w:color="auto" w:sz="4" w:space="0"/>
              <w:left w:val="single" w:color="auto" w:sz="4" w:space="0"/>
              <w:bottom w:val="single" w:color="auto" w:sz="4" w:space="0"/>
              <w:right w:val="single" w:color="auto" w:sz="4" w:space="0"/>
            </w:tcBorders>
            <w:vAlign w:val="center"/>
          </w:tcPr>
          <w:p w14:paraId="37FE06CE">
            <w:pPr>
              <w:spacing w:line="240" w:lineRule="auto"/>
              <w:ind w:firstLine="0" w:firstLineChars="0"/>
              <w:jc w:val="center"/>
              <w:rPr>
                <w:bCs/>
                <w:sz w:val="21"/>
                <w:szCs w:val="21"/>
              </w:rPr>
            </w:pPr>
            <w:r>
              <w:rPr>
                <w:rFonts w:hint="eastAsia"/>
                <w:bCs/>
                <w:sz w:val="21"/>
                <w:szCs w:val="21"/>
              </w:rPr>
              <w:t>0～0.</w:t>
            </w:r>
            <w:r>
              <w:rPr>
                <w:bCs/>
                <w:sz w:val="21"/>
                <w:szCs w:val="21"/>
              </w:rPr>
              <w:t>3</w:t>
            </w:r>
          </w:p>
        </w:tc>
        <w:tc>
          <w:tcPr>
            <w:tcW w:w="1283" w:type="pct"/>
            <w:tcBorders>
              <w:top w:val="single" w:color="auto" w:sz="4" w:space="0"/>
              <w:left w:val="single" w:color="auto" w:sz="4" w:space="0"/>
              <w:bottom w:val="single" w:color="auto" w:sz="4" w:space="0"/>
              <w:right w:val="single" w:color="auto" w:sz="4" w:space="0"/>
            </w:tcBorders>
            <w:vAlign w:val="center"/>
          </w:tcPr>
          <w:p w14:paraId="6988C637">
            <w:pPr>
              <w:spacing w:line="240" w:lineRule="auto"/>
              <w:ind w:firstLine="0" w:firstLineChars="0"/>
              <w:jc w:val="center"/>
              <w:rPr>
                <w:bCs/>
                <w:sz w:val="21"/>
                <w:szCs w:val="21"/>
              </w:rPr>
            </w:pPr>
            <w:r>
              <w:rPr>
                <w:rFonts w:hint="eastAsia"/>
                <w:bCs/>
                <w:sz w:val="21"/>
                <w:szCs w:val="21"/>
              </w:rPr>
              <w:t>5</w:t>
            </w:r>
          </w:p>
        </w:tc>
        <w:tc>
          <w:tcPr>
            <w:tcW w:w="1526" w:type="pct"/>
            <w:tcBorders>
              <w:top w:val="single" w:color="auto" w:sz="4" w:space="0"/>
              <w:left w:val="single" w:color="auto" w:sz="4" w:space="0"/>
              <w:bottom w:val="single" w:color="auto" w:sz="4" w:space="0"/>
              <w:right w:val="single" w:color="auto" w:sz="4" w:space="0"/>
            </w:tcBorders>
            <w:vAlign w:val="center"/>
          </w:tcPr>
          <w:p w14:paraId="5EBF5725">
            <w:pPr>
              <w:spacing w:line="240" w:lineRule="auto"/>
              <w:ind w:firstLine="0" w:firstLineChars="0"/>
              <w:jc w:val="center"/>
              <w:rPr>
                <w:bCs/>
                <w:sz w:val="21"/>
                <w:szCs w:val="21"/>
              </w:rPr>
            </w:pPr>
            <w:r>
              <w:rPr>
                <w:rFonts w:hint="eastAsia"/>
                <w:bCs/>
                <w:sz w:val="21"/>
                <w:szCs w:val="21"/>
              </w:rPr>
              <w:t>≥92</w:t>
            </w:r>
          </w:p>
        </w:tc>
        <w:tc>
          <w:tcPr>
            <w:tcW w:w="761" w:type="pct"/>
            <w:tcBorders>
              <w:top w:val="single" w:color="auto" w:sz="4" w:space="0"/>
              <w:left w:val="single" w:color="auto" w:sz="4" w:space="0"/>
              <w:bottom w:val="single" w:color="auto" w:sz="4" w:space="0"/>
              <w:right w:val="single" w:color="auto" w:sz="4" w:space="0"/>
            </w:tcBorders>
            <w:vAlign w:val="center"/>
          </w:tcPr>
          <w:p w14:paraId="55EA1D9A">
            <w:pPr>
              <w:spacing w:line="240" w:lineRule="auto"/>
              <w:ind w:firstLine="0" w:firstLineChars="0"/>
              <w:jc w:val="center"/>
              <w:rPr>
                <w:bCs/>
                <w:sz w:val="21"/>
                <w:szCs w:val="21"/>
              </w:rPr>
            </w:pPr>
            <w:r>
              <w:rPr>
                <w:rFonts w:hint="eastAsia"/>
                <w:bCs/>
                <w:sz w:val="21"/>
                <w:szCs w:val="21"/>
              </w:rPr>
              <w:t>100</w:t>
            </w:r>
          </w:p>
        </w:tc>
      </w:tr>
      <w:tr w14:paraId="4EF0B547">
        <w:tblPrEx>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83" w:type="pct"/>
            <w:gridSpan w:val="2"/>
            <w:vMerge w:val="continue"/>
            <w:tcBorders>
              <w:left w:val="single" w:color="auto" w:sz="4" w:space="0"/>
              <w:bottom w:val="single" w:color="auto" w:sz="4" w:space="0"/>
              <w:right w:val="single" w:color="auto" w:sz="4" w:space="0"/>
            </w:tcBorders>
            <w:vAlign w:val="center"/>
          </w:tcPr>
          <w:p w14:paraId="6365707F">
            <w:pPr>
              <w:spacing w:line="240" w:lineRule="auto"/>
              <w:ind w:firstLine="0" w:firstLineChars="0"/>
              <w:jc w:val="center"/>
              <w:rPr>
                <w:bCs/>
                <w:sz w:val="21"/>
                <w:szCs w:val="21"/>
              </w:rPr>
            </w:pPr>
          </w:p>
        </w:tc>
        <w:tc>
          <w:tcPr>
            <w:tcW w:w="647" w:type="pct"/>
            <w:tcBorders>
              <w:top w:val="single" w:color="auto" w:sz="4" w:space="0"/>
              <w:left w:val="single" w:color="auto" w:sz="4" w:space="0"/>
              <w:bottom w:val="single" w:color="auto" w:sz="4" w:space="0"/>
              <w:right w:val="single" w:color="auto" w:sz="4" w:space="0"/>
            </w:tcBorders>
            <w:vAlign w:val="center"/>
          </w:tcPr>
          <w:p w14:paraId="3F90FAF9">
            <w:pPr>
              <w:spacing w:line="240" w:lineRule="auto"/>
              <w:ind w:firstLine="0" w:firstLineChars="0"/>
              <w:jc w:val="center"/>
              <w:rPr>
                <w:bCs/>
                <w:sz w:val="21"/>
                <w:szCs w:val="21"/>
              </w:rPr>
            </w:pPr>
            <w:r>
              <w:rPr>
                <w:rFonts w:hint="eastAsia"/>
                <w:bCs/>
                <w:sz w:val="21"/>
                <w:szCs w:val="21"/>
              </w:rPr>
              <w:t>0</w:t>
            </w:r>
            <w:r>
              <w:rPr>
                <w:bCs/>
                <w:sz w:val="21"/>
                <w:szCs w:val="21"/>
              </w:rPr>
              <w:t>.3~0.8</w:t>
            </w:r>
          </w:p>
        </w:tc>
        <w:tc>
          <w:tcPr>
            <w:tcW w:w="1283" w:type="pct"/>
            <w:tcBorders>
              <w:top w:val="single" w:color="auto" w:sz="4" w:space="0"/>
              <w:left w:val="single" w:color="auto" w:sz="4" w:space="0"/>
              <w:bottom w:val="single" w:color="auto" w:sz="4" w:space="0"/>
              <w:right w:val="single" w:color="auto" w:sz="4" w:space="0"/>
            </w:tcBorders>
            <w:vAlign w:val="center"/>
          </w:tcPr>
          <w:p w14:paraId="748E83CD">
            <w:pPr>
              <w:spacing w:line="240" w:lineRule="auto"/>
              <w:ind w:firstLine="0" w:firstLineChars="0"/>
              <w:jc w:val="center"/>
              <w:rPr>
                <w:bCs/>
                <w:sz w:val="21"/>
                <w:szCs w:val="21"/>
              </w:rPr>
            </w:pPr>
            <w:r>
              <w:rPr>
                <w:rFonts w:hint="eastAsia"/>
                <w:bCs/>
                <w:sz w:val="21"/>
                <w:szCs w:val="21"/>
              </w:rPr>
              <w:t>3</w:t>
            </w:r>
          </w:p>
        </w:tc>
        <w:tc>
          <w:tcPr>
            <w:tcW w:w="1526" w:type="pct"/>
            <w:tcBorders>
              <w:top w:val="single" w:color="auto" w:sz="4" w:space="0"/>
              <w:left w:val="single" w:color="auto" w:sz="4" w:space="0"/>
              <w:bottom w:val="single" w:color="auto" w:sz="4" w:space="0"/>
              <w:right w:val="single" w:color="auto" w:sz="4" w:space="0"/>
            </w:tcBorders>
            <w:vAlign w:val="center"/>
          </w:tcPr>
          <w:p w14:paraId="62190BD3">
            <w:pPr>
              <w:spacing w:line="240" w:lineRule="auto"/>
              <w:ind w:firstLine="0" w:firstLineChars="0"/>
              <w:jc w:val="center"/>
              <w:rPr>
                <w:bCs/>
                <w:sz w:val="21"/>
                <w:szCs w:val="21"/>
              </w:rPr>
            </w:pPr>
          </w:p>
        </w:tc>
        <w:tc>
          <w:tcPr>
            <w:tcW w:w="761" w:type="pct"/>
            <w:tcBorders>
              <w:top w:val="single" w:color="auto" w:sz="4" w:space="0"/>
              <w:left w:val="single" w:color="auto" w:sz="4" w:space="0"/>
              <w:bottom w:val="single" w:color="auto" w:sz="4" w:space="0"/>
              <w:right w:val="single" w:color="auto" w:sz="4" w:space="0"/>
            </w:tcBorders>
            <w:vAlign w:val="center"/>
          </w:tcPr>
          <w:p w14:paraId="7B002829">
            <w:pPr>
              <w:spacing w:line="240" w:lineRule="auto"/>
              <w:ind w:firstLine="0" w:firstLineChars="0"/>
              <w:jc w:val="center"/>
              <w:rPr>
                <w:bCs/>
                <w:sz w:val="21"/>
                <w:szCs w:val="21"/>
              </w:rPr>
            </w:pPr>
            <w:r>
              <w:rPr>
                <w:rFonts w:hint="eastAsia"/>
                <w:bCs/>
                <w:sz w:val="21"/>
                <w:szCs w:val="21"/>
              </w:rPr>
              <w:t>1</w:t>
            </w:r>
            <w:r>
              <w:rPr>
                <w:bCs/>
                <w:sz w:val="21"/>
                <w:szCs w:val="21"/>
              </w:rPr>
              <w:t>00</w:t>
            </w:r>
          </w:p>
        </w:tc>
      </w:tr>
    </w:tbl>
    <w:p w14:paraId="7478E968">
      <w:pPr>
        <w:ind w:firstLine="480"/>
      </w:pPr>
      <w:bookmarkStart w:id="24" w:name="_Hlk49004779"/>
      <w:r>
        <w:rPr>
          <w:rFonts w:hint="eastAsia"/>
        </w:rPr>
        <w:t>（</w:t>
      </w:r>
      <w:r>
        <w:t>6</w:t>
      </w:r>
      <w:r>
        <w:rPr>
          <w:rFonts w:hint="eastAsia"/>
        </w:rPr>
        <w:t>）路基容许工后变形</w:t>
      </w:r>
    </w:p>
    <w:bookmarkEnd w:id="24"/>
    <w:p w14:paraId="4CACCF4B">
      <w:pPr>
        <w:ind w:firstLine="480"/>
      </w:pPr>
      <w:r>
        <w:rPr>
          <w:rFonts w:hint="eastAsia"/>
        </w:rPr>
        <w:t>路面设计基准期内，路基容许工后变形应满足《城市道路路基设计规范》（CJJ194-2013）的规定。</w:t>
      </w:r>
    </w:p>
    <w:p w14:paraId="3B10D737">
      <w:pPr>
        <w:ind w:firstLine="0" w:firstLineChars="0"/>
        <w:jc w:val="center"/>
        <w:rPr>
          <w:b/>
          <w:bCs/>
        </w:rPr>
      </w:pPr>
      <w:r>
        <w:rPr>
          <w:rFonts w:hint="eastAsia"/>
          <w:b/>
          <w:bCs/>
        </w:rPr>
        <w:t>路基容许工后变形</w: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0"/>
        <w:gridCol w:w="1983"/>
        <w:gridCol w:w="1842"/>
        <w:gridCol w:w="2410"/>
      </w:tblGrid>
      <w:tr w14:paraId="0D353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520" w:type="dxa"/>
            <w:tcBorders>
              <w:tl2br w:val="single" w:color="auto" w:sz="4" w:space="0"/>
            </w:tcBorders>
            <w:vAlign w:val="center"/>
          </w:tcPr>
          <w:p w14:paraId="7A62EC74">
            <w:pPr>
              <w:spacing w:line="240" w:lineRule="auto"/>
              <w:ind w:firstLine="0" w:firstLineChars="0"/>
              <w:jc w:val="center"/>
              <w:rPr>
                <w:sz w:val="21"/>
                <w:szCs w:val="21"/>
              </w:rPr>
            </w:pPr>
            <w:r>
              <w:rPr>
                <w:rFonts w:hint="eastAsia"/>
                <w:sz w:val="21"/>
                <w:szCs w:val="21"/>
              </w:rPr>
              <w:t xml:space="preserve"> </w:t>
            </w:r>
            <w:r>
              <w:rPr>
                <w:sz w:val="21"/>
                <w:szCs w:val="21"/>
              </w:rPr>
              <w:t xml:space="preserve">           </w:t>
            </w:r>
            <w:r>
              <w:rPr>
                <w:rFonts w:hint="eastAsia"/>
                <w:sz w:val="21"/>
                <w:szCs w:val="21"/>
              </w:rPr>
              <w:t>工程位置</w:t>
            </w:r>
          </w:p>
          <w:p w14:paraId="4D32669C">
            <w:pPr>
              <w:spacing w:line="240" w:lineRule="auto"/>
              <w:ind w:firstLine="0" w:firstLineChars="0"/>
              <w:rPr>
                <w:sz w:val="21"/>
                <w:szCs w:val="21"/>
              </w:rPr>
            </w:pPr>
            <w:r>
              <w:rPr>
                <w:rFonts w:hint="eastAsia"/>
                <w:sz w:val="21"/>
                <w:szCs w:val="21"/>
              </w:rPr>
              <w:t>道路等级</w:t>
            </w:r>
          </w:p>
        </w:tc>
        <w:tc>
          <w:tcPr>
            <w:tcW w:w="1983" w:type="dxa"/>
            <w:vAlign w:val="center"/>
          </w:tcPr>
          <w:p w14:paraId="54816176">
            <w:pPr>
              <w:spacing w:line="240" w:lineRule="auto"/>
              <w:ind w:firstLine="0" w:firstLineChars="0"/>
              <w:jc w:val="center"/>
              <w:rPr>
                <w:sz w:val="21"/>
                <w:szCs w:val="21"/>
              </w:rPr>
            </w:pPr>
            <w:r>
              <w:rPr>
                <w:rFonts w:hint="eastAsia"/>
                <w:sz w:val="21"/>
                <w:szCs w:val="21"/>
              </w:rPr>
              <w:t>桥台与路堤相邻处</w:t>
            </w:r>
          </w:p>
        </w:tc>
        <w:tc>
          <w:tcPr>
            <w:tcW w:w="1842" w:type="dxa"/>
            <w:vAlign w:val="center"/>
          </w:tcPr>
          <w:p w14:paraId="2B215C53">
            <w:pPr>
              <w:spacing w:line="240" w:lineRule="auto"/>
              <w:ind w:firstLine="0" w:firstLineChars="0"/>
              <w:jc w:val="center"/>
              <w:rPr>
                <w:sz w:val="21"/>
                <w:szCs w:val="21"/>
              </w:rPr>
            </w:pPr>
            <w:r>
              <w:rPr>
                <w:rFonts w:hint="eastAsia"/>
                <w:sz w:val="21"/>
                <w:szCs w:val="21"/>
              </w:rPr>
              <w:t>涵洞、通道处</w:t>
            </w:r>
          </w:p>
        </w:tc>
        <w:tc>
          <w:tcPr>
            <w:tcW w:w="2410" w:type="dxa"/>
            <w:vAlign w:val="center"/>
          </w:tcPr>
          <w:p w14:paraId="723D62B9">
            <w:pPr>
              <w:spacing w:line="240" w:lineRule="auto"/>
              <w:ind w:firstLine="0" w:firstLineChars="0"/>
              <w:jc w:val="center"/>
              <w:rPr>
                <w:sz w:val="21"/>
                <w:szCs w:val="21"/>
              </w:rPr>
            </w:pPr>
            <w:r>
              <w:rPr>
                <w:rFonts w:hint="eastAsia"/>
                <w:sz w:val="21"/>
                <w:szCs w:val="21"/>
              </w:rPr>
              <w:t>一般路段</w:t>
            </w:r>
          </w:p>
        </w:tc>
      </w:tr>
      <w:tr w14:paraId="4AE55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20" w:type="dxa"/>
            <w:vAlign w:val="center"/>
          </w:tcPr>
          <w:p w14:paraId="512E8F77">
            <w:pPr>
              <w:spacing w:line="240" w:lineRule="auto"/>
              <w:ind w:firstLine="0" w:firstLineChars="0"/>
              <w:jc w:val="center"/>
              <w:rPr>
                <w:sz w:val="21"/>
                <w:szCs w:val="21"/>
              </w:rPr>
            </w:pPr>
            <w:r>
              <w:rPr>
                <w:rFonts w:hint="eastAsia"/>
                <w:sz w:val="21"/>
                <w:szCs w:val="21"/>
              </w:rPr>
              <w:t>次干路、支路</w:t>
            </w:r>
          </w:p>
        </w:tc>
        <w:tc>
          <w:tcPr>
            <w:tcW w:w="1983" w:type="dxa"/>
            <w:vAlign w:val="center"/>
          </w:tcPr>
          <w:p w14:paraId="6B298842">
            <w:pPr>
              <w:spacing w:line="240" w:lineRule="auto"/>
              <w:ind w:firstLine="0" w:firstLineChars="0"/>
              <w:jc w:val="center"/>
              <w:rPr>
                <w:sz w:val="21"/>
                <w:szCs w:val="21"/>
              </w:rPr>
            </w:pPr>
            <w:r>
              <w:rPr>
                <w:rFonts w:hint="eastAsia"/>
                <w:sz w:val="21"/>
                <w:szCs w:val="21"/>
              </w:rPr>
              <w:t>≤0</w:t>
            </w:r>
            <w:r>
              <w:rPr>
                <w:sz w:val="21"/>
                <w:szCs w:val="21"/>
              </w:rPr>
              <w:t>.20</w:t>
            </w:r>
            <w:r>
              <w:rPr>
                <w:rFonts w:hint="eastAsia"/>
                <w:sz w:val="21"/>
                <w:szCs w:val="21"/>
              </w:rPr>
              <w:t>m</w:t>
            </w:r>
          </w:p>
        </w:tc>
        <w:tc>
          <w:tcPr>
            <w:tcW w:w="1842" w:type="dxa"/>
            <w:vAlign w:val="center"/>
          </w:tcPr>
          <w:p w14:paraId="60EAAB51">
            <w:pPr>
              <w:spacing w:line="240" w:lineRule="auto"/>
              <w:ind w:firstLine="0" w:firstLineChars="0"/>
              <w:jc w:val="center"/>
              <w:rPr>
                <w:sz w:val="21"/>
                <w:szCs w:val="21"/>
              </w:rPr>
            </w:pPr>
            <w:r>
              <w:rPr>
                <w:rFonts w:hint="eastAsia"/>
                <w:sz w:val="21"/>
                <w:szCs w:val="21"/>
              </w:rPr>
              <w:t>≤0</w:t>
            </w:r>
            <w:r>
              <w:rPr>
                <w:sz w:val="21"/>
                <w:szCs w:val="21"/>
              </w:rPr>
              <w:t>.30</w:t>
            </w:r>
            <w:r>
              <w:rPr>
                <w:rFonts w:hint="eastAsia"/>
                <w:sz w:val="21"/>
                <w:szCs w:val="21"/>
              </w:rPr>
              <w:t>m</w:t>
            </w:r>
          </w:p>
        </w:tc>
        <w:tc>
          <w:tcPr>
            <w:tcW w:w="2410" w:type="dxa"/>
            <w:vAlign w:val="center"/>
          </w:tcPr>
          <w:p w14:paraId="5D3363BC">
            <w:pPr>
              <w:spacing w:line="240" w:lineRule="auto"/>
              <w:ind w:firstLine="0" w:firstLineChars="0"/>
              <w:jc w:val="center"/>
              <w:rPr>
                <w:sz w:val="21"/>
                <w:szCs w:val="21"/>
              </w:rPr>
            </w:pPr>
            <w:r>
              <w:rPr>
                <w:rFonts w:hint="eastAsia"/>
                <w:sz w:val="21"/>
                <w:szCs w:val="21"/>
              </w:rPr>
              <w:t>≤0</w:t>
            </w:r>
            <w:r>
              <w:rPr>
                <w:sz w:val="21"/>
                <w:szCs w:val="21"/>
              </w:rPr>
              <w:t>.50</w:t>
            </w:r>
            <w:r>
              <w:rPr>
                <w:rFonts w:hint="eastAsia"/>
                <w:sz w:val="21"/>
                <w:szCs w:val="21"/>
              </w:rPr>
              <w:t>m</w:t>
            </w:r>
          </w:p>
        </w:tc>
      </w:tr>
    </w:tbl>
    <w:p w14:paraId="26DC9D28">
      <w:pPr>
        <w:snapToGrid w:val="0"/>
        <w:spacing w:before="72"/>
        <w:ind w:firstLine="480"/>
        <w:rPr>
          <w:snapToGrid w:val="0"/>
        </w:rPr>
      </w:pPr>
      <w:bookmarkStart w:id="25" w:name="_Toc85646493"/>
      <w:r>
        <w:rPr>
          <w:rFonts w:hint="eastAsia"/>
          <w:snapToGrid w:val="0"/>
        </w:rPr>
        <w:t>4</w:t>
      </w:r>
      <w:r>
        <w:rPr>
          <w:snapToGrid w:val="0"/>
        </w:rPr>
        <w:t>.4.2</w:t>
      </w:r>
      <w:r>
        <w:rPr>
          <w:rFonts w:hint="eastAsia"/>
          <w:snapToGrid w:val="0"/>
        </w:rPr>
        <w:t>路基、路面排水设计</w:t>
      </w:r>
      <w:bookmarkEnd w:id="25"/>
    </w:p>
    <w:p w14:paraId="3D105A8D">
      <w:pPr>
        <w:ind w:firstLine="480"/>
        <w:rPr>
          <w:rFonts w:hint="default"/>
          <w:lang w:val="en-US" w:eastAsia="zh-CN"/>
        </w:rPr>
      </w:pPr>
      <w:r>
        <w:rPr>
          <w:rFonts w:hint="eastAsia"/>
          <w:lang w:val="en-US" w:eastAsia="zh-CN"/>
        </w:rPr>
        <w:t>（1）路面排水</w:t>
      </w:r>
    </w:p>
    <w:p w14:paraId="5D04D0A8">
      <w:pPr>
        <w:ind w:firstLine="480"/>
        <w:rPr>
          <w:rFonts w:hint="eastAsia"/>
          <w:lang w:val="en-US" w:eastAsia="zh-CN"/>
        </w:rPr>
      </w:pPr>
      <w:r>
        <w:rPr>
          <w:rFonts w:hint="eastAsia"/>
          <w:lang w:val="en-US" w:eastAsia="zh-CN"/>
        </w:rPr>
        <w:t>考虑地块雨水管线从永安东路接驳，本次临时道路不设置雨水管。路面雨水通过道路横坡排至新建改渠。</w:t>
      </w:r>
    </w:p>
    <w:p w14:paraId="6859B03C">
      <w:pPr>
        <w:numPr>
          <w:ilvl w:val="0"/>
          <w:numId w:val="15"/>
        </w:numPr>
        <w:ind w:firstLine="480"/>
        <w:rPr>
          <w:rFonts w:hint="default"/>
          <w:lang w:val="en-US" w:eastAsia="zh-CN"/>
        </w:rPr>
      </w:pPr>
      <w:r>
        <w:rPr>
          <w:rFonts w:hint="eastAsia"/>
          <w:lang w:val="en-US" w:eastAsia="zh-CN"/>
        </w:rPr>
        <w:t>路基排水</w:t>
      </w:r>
    </w:p>
    <w:p w14:paraId="2FE6B57F">
      <w:pPr>
        <w:ind w:firstLine="480"/>
        <w:rPr>
          <w:rFonts w:hint="eastAsia"/>
          <w:lang w:val="en-US" w:eastAsia="zh-CN"/>
        </w:rPr>
      </w:pPr>
      <w:r>
        <w:rPr>
          <w:rFonts w:hint="eastAsia"/>
          <w:lang w:val="en-US" w:eastAsia="zh-CN"/>
        </w:rPr>
        <w:t>考虑道路为临时道路，与现状存在高差，需设置排水沟用于收集路基雨水。</w:t>
      </w:r>
    </w:p>
    <w:p w14:paraId="67DBF002">
      <w:pPr>
        <w:pStyle w:val="189"/>
        <w:ind w:firstLine="480"/>
        <w:rPr>
          <w:lang w:eastAsia="zh-CN" w:bidi="ar-SA"/>
        </w:rPr>
      </w:pPr>
      <w:r>
        <w:rPr>
          <w:rFonts w:hint="eastAsia"/>
          <w:lang w:eastAsia="zh-CN" w:bidi="ar-SA"/>
        </w:rPr>
        <w:t>排水沟：</w:t>
      </w:r>
      <w:r>
        <w:rPr>
          <w:rFonts w:ascii="宋体" w:hAnsi="宋体"/>
          <w:lang w:eastAsia="zh-CN"/>
        </w:rPr>
        <w:t>排水沟</w:t>
      </w:r>
      <w:r>
        <w:rPr>
          <w:rFonts w:hint="eastAsia" w:ascii="宋体" w:hAnsi="宋体"/>
          <w:lang w:eastAsia="zh-CN"/>
        </w:rPr>
        <w:t>为梯形</w:t>
      </w:r>
      <w:r>
        <w:rPr>
          <w:rFonts w:ascii="宋体" w:hAnsi="宋体"/>
          <w:lang w:eastAsia="zh-CN"/>
        </w:rPr>
        <w:t>，沟底宽</w:t>
      </w:r>
      <w:r>
        <w:rPr>
          <w:rFonts w:hint="eastAsia" w:ascii="宋体" w:hAnsi="宋体"/>
          <w:lang w:eastAsia="zh-CN"/>
        </w:rPr>
        <w:t>0.6m，沟高度0.</w:t>
      </w:r>
      <w:r>
        <w:rPr>
          <w:rFonts w:ascii="宋体" w:hAnsi="宋体"/>
          <w:lang w:eastAsia="zh-CN"/>
        </w:rPr>
        <w:t>6</w:t>
      </w:r>
      <w:r>
        <w:rPr>
          <w:rFonts w:hint="eastAsia" w:ascii="宋体" w:hAnsi="宋体"/>
          <w:lang w:eastAsia="zh-CN"/>
        </w:rPr>
        <w:t>m，沟壁和沟底采用砂包。</w:t>
      </w:r>
    </w:p>
    <w:p w14:paraId="500A34E7">
      <w:pPr>
        <w:snapToGrid w:val="0"/>
        <w:spacing w:before="72"/>
        <w:ind w:firstLine="480"/>
        <w:rPr>
          <w:snapToGrid w:val="0"/>
        </w:rPr>
      </w:pPr>
      <w:bookmarkStart w:id="26" w:name="_Toc85646494"/>
      <w:r>
        <w:rPr>
          <w:rFonts w:hint="eastAsia"/>
          <w:snapToGrid w:val="0"/>
        </w:rPr>
        <w:t>4</w:t>
      </w:r>
      <w:r>
        <w:rPr>
          <w:snapToGrid w:val="0"/>
        </w:rPr>
        <w:t>.4.3</w:t>
      </w:r>
      <w:r>
        <w:rPr>
          <w:rFonts w:hint="eastAsia"/>
          <w:snapToGrid w:val="0"/>
        </w:rPr>
        <w:t>路基防护</w:t>
      </w:r>
      <w:bookmarkEnd w:id="26"/>
    </w:p>
    <w:p w14:paraId="06FF1706">
      <w:pPr>
        <w:ind w:firstLine="480"/>
        <w:rPr>
          <w:rFonts w:hint="default" w:eastAsia="宋体"/>
          <w:lang w:val="en-US" w:eastAsia="zh-CN"/>
        </w:rPr>
      </w:pPr>
      <w:r>
        <w:rPr>
          <w:rFonts w:hint="eastAsia"/>
        </w:rPr>
        <w:t>临时道路</w:t>
      </w:r>
      <w:r>
        <w:rPr>
          <w:rFonts w:hint="eastAsia"/>
          <w:lang w:val="en-US" w:eastAsia="zh-CN"/>
        </w:rPr>
        <w:t>东侧</w:t>
      </w:r>
      <w:r>
        <w:rPr>
          <w:rFonts w:hint="eastAsia"/>
        </w:rPr>
        <w:t>采用挡土墙支护，由基坑支护专业负责设计</w:t>
      </w:r>
      <w:r>
        <w:rPr>
          <w:rFonts w:hint="eastAsia"/>
          <w:lang w:eastAsia="zh-CN"/>
        </w:rPr>
        <w:t>。</w:t>
      </w:r>
      <w:r>
        <w:rPr>
          <w:rFonts w:hint="eastAsia"/>
          <w:lang w:val="en-US" w:eastAsia="zh-CN"/>
        </w:rPr>
        <w:t>西侧K0+000~K0+085与幼儿园地块接平，K0+085~终点采用放坡，边坡坡率1:1.5，采用植草防护。</w:t>
      </w:r>
    </w:p>
    <w:p w14:paraId="79396C31">
      <w:pPr>
        <w:snapToGrid w:val="0"/>
        <w:spacing w:before="72"/>
        <w:ind w:firstLine="480"/>
        <w:rPr>
          <w:snapToGrid w:val="0"/>
        </w:rPr>
      </w:pPr>
      <w:bookmarkStart w:id="27" w:name="_Toc85646495"/>
      <w:r>
        <w:rPr>
          <w:rFonts w:hint="eastAsia"/>
          <w:snapToGrid w:val="0"/>
        </w:rPr>
        <w:t>4</w:t>
      </w:r>
      <w:r>
        <w:rPr>
          <w:snapToGrid w:val="0"/>
        </w:rPr>
        <w:t>.4.4</w:t>
      </w:r>
      <w:r>
        <w:rPr>
          <w:rFonts w:hint="eastAsia"/>
          <w:snapToGrid w:val="0"/>
        </w:rPr>
        <w:t>路基处理</w:t>
      </w:r>
      <w:bookmarkEnd w:id="27"/>
    </w:p>
    <w:p w14:paraId="4E31572E">
      <w:pPr>
        <w:ind w:firstLine="480"/>
      </w:pPr>
      <w:r>
        <w:rPr>
          <w:rFonts w:hint="eastAsia"/>
        </w:rPr>
        <w:t>（</w:t>
      </w:r>
      <w:r>
        <w:t>1</w:t>
      </w:r>
      <w:r>
        <w:rPr>
          <w:rFonts w:hint="eastAsia"/>
        </w:rPr>
        <w:t>）现状路基概况</w:t>
      </w:r>
    </w:p>
    <w:p w14:paraId="46F454FD">
      <w:pPr>
        <w:snapToGrid w:val="0"/>
        <w:spacing w:before="72"/>
        <w:ind w:firstLine="480"/>
        <w:rPr>
          <w:snapToGrid w:val="0"/>
        </w:rPr>
      </w:pPr>
      <w:r>
        <w:rPr>
          <w:rFonts w:hint="eastAsia" w:ascii="宋体" w:hAnsi="宋体"/>
          <w:bCs/>
        </w:rPr>
        <w:t>临时道路地质情况参考</w:t>
      </w:r>
      <w:r>
        <w:rPr>
          <w:rFonts w:hint="eastAsia"/>
          <w:snapToGrid w:val="0"/>
        </w:rPr>
        <w:t>《广州空港经济区起步区拆迁安置区（花东安置区）一期工程岩土工程勘察报告（详细勘察）》2</w:t>
      </w:r>
      <w:r>
        <w:rPr>
          <w:snapToGrid w:val="0"/>
        </w:rPr>
        <w:t>021.07</w:t>
      </w:r>
      <w:r>
        <w:rPr>
          <w:rFonts w:hint="eastAsia"/>
          <w:snapToGrid w:val="0"/>
        </w:rPr>
        <w:t>修编版，沿线建设场地土质良好，未见淤泥层等软弱土层分布。</w:t>
      </w:r>
    </w:p>
    <w:p w14:paraId="2FA21B5F">
      <w:pPr>
        <w:ind w:firstLine="480"/>
        <w:rPr>
          <w:color w:val="000000" w:themeColor="text1"/>
        </w:rPr>
      </w:pPr>
      <w:r>
        <w:rPr>
          <w:rFonts w:hint="eastAsia"/>
          <w:color w:val="000000" w:themeColor="text1"/>
        </w:rPr>
        <w:t>（</w:t>
      </w:r>
      <w:r>
        <w:rPr>
          <w:color w:val="000000" w:themeColor="text1"/>
        </w:rPr>
        <w:t>2</w:t>
      </w:r>
      <w:r>
        <w:rPr>
          <w:rFonts w:hint="eastAsia"/>
          <w:color w:val="000000" w:themeColor="text1"/>
        </w:rPr>
        <w:t>）路基处理方案</w:t>
      </w:r>
    </w:p>
    <w:p w14:paraId="31362766">
      <w:pPr>
        <w:ind w:firstLine="480"/>
        <w:rPr>
          <w:color w:val="000000" w:themeColor="text1"/>
        </w:rPr>
      </w:pPr>
      <w:r>
        <w:rPr>
          <w:rFonts w:hint="eastAsia"/>
          <w:color w:val="000000" w:themeColor="text1"/>
        </w:rPr>
        <w:t>对于现状范围地表的种植土及素填土，本工程拟进行浅层换填处理。处理深度1米，换填</w:t>
      </w:r>
      <w:r>
        <w:rPr>
          <w:rFonts w:hint="eastAsia"/>
          <w:color w:val="000000" w:themeColor="text1"/>
          <w:lang w:eastAsia="zh-CN"/>
        </w:rPr>
        <w:t>1</w:t>
      </w:r>
      <w:r>
        <w:rPr>
          <w:rFonts w:hint="eastAsia"/>
          <w:color w:val="000000" w:themeColor="text1"/>
        </w:rPr>
        <w:t>米的</w:t>
      </w:r>
      <w:r>
        <w:rPr>
          <w:rFonts w:hint="eastAsia"/>
          <w:color w:val="000000" w:themeColor="text1"/>
          <w:lang w:eastAsia="zh-CN"/>
        </w:rPr>
        <w:t>素</w:t>
      </w:r>
      <w:r>
        <w:rPr>
          <w:rFonts w:hint="eastAsia"/>
          <w:color w:val="000000" w:themeColor="text1"/>
        </w:rPr>
        <w:t>土。</w:t>
      </w:r>
    </w:p>
    <w:p w14:paraId="6B6B9799">
      <w:pPr>
        <w:snapToGrid w:val="0"/>
        <w:spacing w:before="72"/>
        <w:ind w:firstLine="480"/>
        <w:rPr>
          <w:snapToGrid w:val="0"/>
          <w:color w:val="auto"/>
        </w:rPr>
      </w:pPr>
      <w:bookmarkStart w:id="28" w:name="_Toc85646496"/>
      <w:r>
        <w:rPr>
          <w:rFonts w:hint="eastAsia"/>
          <w:snapToGrid w:val="0"/>
          <w:color w:val="auto"/>
        </w:rPr>
        <w:t>4</w:t>
      </w:r>
      <w:r>
        <w:rPr>
          <w:snapToGrid w:val="0"/>
          <w:color w:val="auto"/>
        </w:rPr>
        <w:t>.4.5</w:t>
      </w:r>
      <w:r>
        <w:rPr>
          <w:rFonts w:hint="eastAsia"/>
          <w:snapToGrid w:val="0"/>
          <w:color w:val="auto"/>
        </w:rPr>
        <w:t>路面结构</w:t>
      </w:r>
      <w:bookmarkEnd w:id="28"/>
    </w:p>
    <w:p w14:paraId="687BA9F8">
      <w:pPr>
        <w:ind w:firstLine="480"/>
        <w:rPr>
          <w:color w:val="auto"/>
        </w:rPr>
      </w:pPr>
      <w:r>
        <w:rPr>
          <w:color w:val="auto"/>
        </w:rPr>
        <w:t>1</w:t>
      </w:r>
      <w:r>
        <w:rPr>
          <w:rFonts w:hint="eastAsia"/>
          <w:color w:val="auto"/>
        </w:rPr>
        <w:t>）机动车道路面结构</w:t>
      </w:r>
    </w:p>
    <w:p w14:paraId="2F821674">
      <w:pPr>
        <w:ind w:firstLine="480"/>
        <w:rPr>
          <w:color w:val="FF0000"/>
        </w:rPr>
      </w:pPr>
      <w:r>
        <w:rPr>
          <w:color w:val="FF0000"/>
        </w:rPr>
        <w:t>20cm</w:t>
      </w:r>
      <w:r>
        <w:rPr>
          <w:rFonts w:hint="eastAsia"/>
          <w:color w:val="FF0000"/>
        </w:rPr>
        <w:t>C</w:t>
      </w:r>
      <w:r>
        <w:rPr>
          <w:color w:val="FF0000"/>
        </w:rPr>
        <w:t>3</w:t>
      </w:r>
      <w:r>
        <w:rPr>
          <w:rFonts w:hint="eastAsia"/>
          <w:color w:val="FF0000"/>
          <w:lang w:val="en-US" w:eastAsia="zh-CN"/>
        </w:rPr>
        <w:t>5</w:t>
      </w:r>
      <w:r>
        <w:rPr>
          <w:rFonts w:hint="eastAsia"/>
          <w:color w:val="FF0000"/>
        </w:rPr>
        <w:t>水泥混凝土 （设计弯拉强度≥4.5MPa）</w:t>
      </w:r>
    </w:p>
    <w:p w14:paraId="7EF7DFEA">
      <w:pPr>
        <w:ind w:firstLine="480"/>
        <w:rPr>
          <w:color w:val="auto"/>
        </w:rPr>
      </w:pPr>
      <w:r>
        <w:rPr>
          <w:color w:val="auto"/>
        </w:rPr>
        <w:t>20cm5%</w:t>
      </w:r>
      <w:r>
        <w:rPr>
          <w:rFonts w:hint="eastAsia"/>
          <w:color w:val="auto"/>
        </w:rPr>
        <w:t>水泥稳定碎石</w:t>
      </w:r>
    </w:p>
    <w:p w14:paraId="2B802069">
      <w:pPr>
        <w:ind w:firstLine="480"/>
        <w:rPr>
          <w:color w:val="auto"/>
        </w:rPr>
      </w:pPr>
      <w:r>
        <w:rPr>
          <w:rFonts w:hint="eastAsia"/>
          <w:color w:val="auto"/>
        </w:rPr>
        <w:t>1</w:t>
      </w:r>
      <w:r>
        <w:rPr>
          <w:color w:val="auto"/>
        </w:rPr>
        <w:t xml:space="preserve">5cm </w:t>
      </w:r>
      <w:r>
        <w:rPr>
          <w:rFonts w:hint="eastAsia"/>
          <w:color w:val="auto"/>
        </w:rPr>
        <w:t>未筛分碎石</w:t>
      </w:r>
    </w:p>
    <w:p w14:paraId="76D6B0D8">
      <w:pPr>
        <w:ind w:firstLine="480"/>
        <w:rPr>
          <w:color w:val="auto"/>
        </w:rPr>
      </w:pPr>
      <w:r>
        <w:rPr>
          <w:rFonts w:hint="eastAsia"/>
          <w:color w:val="auto"/>
        </w:rPr>
        <w:t>总厚度：</w:t>
      </w:r>
      <w:r>
        <w:rPr>
          <w:color w:val="auto"/>
        </w:rPr>
        <w:t>55cm</w:t>
      </w:r>
    </w:p>
    <w:p w14:paraId="7F9DB1A8">
      <w:pPr>
        <w:ind w:firstLine="480"/>
        <w:rPr>
          <w:color w:val="auto"/>
        </w:rPr>
      </w:pPr>
      <w:r>
        <w:rPr>
          <w:color w:val="auto"/>
        </w:rPr>
        <w:t>2</w:t>
      </w:r>
      <w:r>
        <w:rPr>
          <w:rFonts w:hint="eastAsia"/>
          <w:color w:val="auto"/>
        </w:rPr>
        <w:t>）人行道路面结构</w:t>
      </w:r>
    </w:p>
    <w:p w14:paraId="27282CBD">
      <w:pPr>
        <w:ind w:firstLine="480"/>
        <w:rPr>
          <w:color w:val="auto"/>
        </w:rPr>
      </w:pPr>
      <w:r>
        <w:rPr>
          <w:color w:val="auto"/>
        </w:rPr>
        <w:t>5</w:t>
      </w:r>
      <w:r>
        <w:rPr>
          <w:rFonts w:hint="eastAsia"/>
          <w:color w:val="auto"/>
        </w:rPr>
        <w:t>cm混凝土透水砖（灰色）（抗压强度≥Cc40）</w:t>
      </w:r>
    </w:p>
    <w:p w14:paraId="65FEC6CE">
      <w:pPr>
        <w:ind w:firstLine="480"/>
        <w:rPr>
          <w:rFonts w:hint="eastAsia" w:eastAsia="宋体"/>
          <w:color w:val="FF0000"/>
          <w:lang w:eastAsia="zh-CN"/>
        </w:rPr>
      </w:pPr>
      <w:r>
        <w:rPr>
          <w:color w:val="FF0000"/>
        </w:rPr>
        <w:t>2</w:t>
      </w:r>
      <w:r>
        <w:rPr>
          <w:rFonts w:hint="eastAsia"/>
          <w:color w:val="FF0000"/>
        </w:rPr>
        <w:t>cm</w:t>
      </w:r>
      <w:r>
        <w:rPr>
          <w:color w:val="FF0000"/>
        </w:rPr>
        <w:t xml:space="preserve"> </w:t>
      </w:r>
      <w:r>
        <w:rPr>
          <w:rFonts w:hint="eastAsia"/>
          <w:color w:val="FF0000"/>
          <w:lang w:eastAsia="zh-CN"/>
        </w:rPr>
        <w:t>干硬性透水砂浆</w:t>
      </w:r>
    </w:p>
    <w:p w14:paraId="43019452">
      <w:pPr>
        <w:ind w:firstLine="480"/>
        <w:rPr>
          <w:color w:val="auto"/>
        </w:rPr>
      </w:pPr>
      <w:r>
        <w:rPr>
          <w:color w:val="auto"/>
        </w:rPr>
        <w:t>15cm C20</w:t>
      </w:r>
      <w:r>
        <w:rPr>
          <w:rFonts w:hint="eastAsia"/>
          <w:color w:val="auto"/>
        </w:rPr>
        <w:t>透水水泥混凝土</w:t>
      </w:r>
    </w:p>
    <w:p w14:paraId="3B6E8E17">
      <w:pPr>
        <w:ind w:firstLine="480"/>
        <w:rPr>
          <w:color w:val="auto"/>
        </w:rPr>
      </w:pPr>
      <w:r>
        <w:rPr>
          <w:rFonts w:hint="eastAsia"/>
          <w:color w:val="auto"/>
        </w:rPr>
        <w:t>路面总厚度</w:t>
      </w:r>
      <w:r>
        <w:rPr>
          <w:color w:val="auto"/>
        </w:rPr>
        <w:t>22</w:t>
      </w:r>
      <w:r>
        <w:rPr>
          <w:rFonts w:hint="eastAsia"/>
          <w:color w:val="auto"/>
        </w:rPr>
        <w:t>cm。</w:t>
      </w:r>
    </w:p>
    <w:p w14:paraId="34E7F90F">
      <w:pPr>
        <w:ind w:firstLine="480"/>
        <w:rPr>
          <w:color w:val="auto"/>
        </w:rPr>
      </w:pPr>
      <w:bookmarkStart w:id="29" w:name="_Toc48815966"/>
      <w:bookmarkStart w:id="30" w:name="_Toc68620631"/>
      <w:r>
        <w:rPr>
          <w:rFonts w:hint="eastAsia"/>
          <w:color w:val="auto"/>
        </w:rPr>
        <w:t>（5）路缘石设计</w:t>
      </w:r>
    </w:p>
    <w:p w14:paraId="63AD8341">
      <w:pPr>
        <w:ind w:firstLine="480"/>
        <w:rPr>
          <w:color w:val="auto"/>
        </w:rPr>
      </w:pPr>
      <w:r>
        <w:rPr>
          <w:rFonts w:hint="eastAsia"/>
          <w:color w:val="auto"/>
        </w:rPr>
        <w:t>机动车道</w:t>
      </w:r>
      <w:r>
        <w:rPr>
          <w:color w:val="auto"/>
        </w:rPr>
        <w:t>外侧</w:t>
      </w:r>
      <w:r>
        <w:rPr>
          <w:rFonts w:hint="eastAsia"/>
          <w:color w:val="auto"/>
        </w:rPr>
        <w:t>为预制仿花岗岩</w:t>
      </w:r>
      <w:r>
        <w:rPr>
          <w:color w:val="auto"/>
        </w:rPr>
        <w:t>侧石</w:t>
      </w:r>
      <w:r>
        <w:rPr>
          <w:rFonts w:hint="eastAsia"/>
          <w:color w:val="auto"/>
        </w:rPr>
        <w:t>B</w:t>
      </w:r>
      <w:r>
        <w:rPr>
          <w:color w:val="auto"/>
        </w:rPr>
        <w:t>为(100×15×40cm)，外露高</w:t>
      </w:r>
      <w:r>
        <w:rPr>
          <w:rFonts w:hint="eastAsia"/>
          <w:color w:val="auto"/>
        </w:rPr>
        <w:t>度</w:t>
      </w:r>
      <w:r>
        <w:rPr>
          <w:color w:val="auto"/>
        </w:rPr>
        <w:t>15cm</w:t>
      </w:r>
      <w:r>
        <w:rPr>
          <w:rFonts w:hint="eastAsia"/>
          <w:color w:val="auto"/>
        </w:rPr>
        <w:t>；</w:t>
      </w:r>
      <w:r>
        <w:rPr>
          <w:color w:val="auto"/>
        </w:rPr>
        <w:t>人行道压条为</w:t>
      </w:r>
      <w:r>
        <w:rPr>
          <w:rFonts w:hint="eastAsia"/>
          <w:color w:val="auto"/>
        </w:rPr>
        <w:t>预制仿花岗岩</w:t>
      </w:r>
      <w:r>
        <w:rPr>
          <w:color w:val="auto"/>
        </w:rPr>
        <w:t>（100×10×10cm)</w:t>
      </w:r>
      <w:r>
        <w:rPr>
          <w:rFonts w:hint="eastAsia"/>
          <w:color w:val="auto"/>
        </w:rPr>
        <w:t>，高度与人行道平齐</w:t>
      </w:r>
      <w:bookmarkEnd w:id="29"/>
      <w:bookmarkEnd w:id="30"/>
      <w:r>
        <w:rPr>
          <w:rFonts w:hint="eastAsia"/>
          <w:color w:val="auto"/>
        </w:rPr>
        <w:t>。</w:t>
      </w:r>
    </w:p>
    <w:p w14:paraId="2FD1D834">
      <w:pPr>
        <w:snapToGrid w:val="0"/>
        <w:spacing w:before="72"/>
        <w:ind w:firstLine="480"/>
        <w:rPr>
          <w:snapToGrid w:val="0"/>
          <w:color w:val="auto"/>
        </w:rPr>
      </w:pPr>
      <w:bookmarkStart w:id="31" w:name="_Toc85646497"/>
      <w:r>
        <w:rPr>
          <w:rFonts w:hint="eastAsia"/>
          <w:snapToGrid w:val="0"/>
          <w:color w:val="auto"/>
        </w:rPr>
        <w:t>4</w:t>
      </w:r>
      <w:r>
        <w:rPr>
          <w:snapToGrid w:val="0"/>
          <w:color w:val="auto"/>
        </w:rPr>
        <w:t>.4.6</w:t>
      </w:r>
      <w:r>
        <w:rPr>
          <w:rFonts w:hint="eastAsia"/>
          <w:snapToGrid w:val="0"/>
          <w:color w:val="auto"/>
        </w:rPr>
        <w:t>路面验收标准</w:t>
      </w:r>
      <w:bookmarkEnd w:id="31"/>
    </w:p>
    <w:p w14:paraId="1EA1456C">
      <w:pPr>
        <w:ind w:firstLine="480"/>
        <w:rPr>
          <w:color w:val="auto"/>
        </w:rPr>
      </w:pPr>
      <w:r>
        <w:rPr>
          <w:rFonts w:hint="eastAsia"/>
          <w:color w:val="auto"/>
        </w:rPr>
        <w:t>工程质量要求及验收标准按现行《城镇道路路面设计规范》（</w:t>
      </w:r>
      <w:r>
        <w:rPr>
          <w:color w:val="auto"/>
        </w:rPr>
        <w:t>CJJ 169</w:t>
      </w:r>
      <w:r>
        <w:rPr>
          <w:rFonts w:hint="eastAsia"/>
          <w:color w:val="auto"/>
        </w:rPr>
        <w:t>－</w:t>
      </w:r>
      <w:r>
        <w:rPr>
          <w:color w:val="auto"/>
        </w:rPr>
        <w:t>2011</w:t>
      </w:r>
      <w:r>
        <w:rPr>
          <w:rFonts w:hint="eastAsia"/>
          <w:color w:val="auto"/>
        </w:rPr>
        <w:t>）及《城镇道路工程施工及质量验收规范》（</w:t>
      </w:r>
      <w:r>
        <w:rPr>
          <w:color w:val="auto"/>
        </w:rPr>
        <w:t>CJJ1-2008</w:t>
      </w:r>
      <w:r>
        <w:rPr>
          <w:rFonts w:hint="eastAsia"/>
          <w:color w:val="auto"/>
        </w:rPr>
        <w:t>）等相关规范执行。</w:t>
      </w:r>
    </w:p>
    <w:p w14:paraId="6C265274">
      <w:pPr>
        <w:snapToGrid w:val="0"/>
        <w:spacing w:before="72"/>
        <w:ind w:firstLine="480"/>
        <w:rPr>
          <w:snapToGrid w:val="0"/>
          <w:color w:val="auto"/>
        </w:rPr>
      </w:pPr>
      <w:bookmarkStart w:id="32" w:name="_Toc85646498"/>
      <w:r>
        <w:rPr>
          <w:rFonts w:hint="eastAsia"/>
          <w:snapToGrid w:val="0"/>
          <w:color w:val="auto"/>
        </w:rPr>
        <w:t>4</w:t>
      </w:r>
      <w:r>
        <w:rPr>
          <w:snapToGrid w:val="0"/>
          <w:color w:val="auto"/>
        </w:rPr>
        <w:t>.4.7</w:t>
      </w:r>
      <w:r>
        <w:rPr>
          <w:rFonts w:hint="eastAsia"/>
          <w:snapToGrid w:val="0"/>
          <w:color w:val="auto"/>
        </w:rPr>
        <w:t>无障碍设计</w:t>
      </w:r>
      <w:bookmarkEnd w:id="32"/>
    </w:p>
    <w:p w14:paraId="117642E2">
      <w:pPr>
        <w:ind w:firstLine="480"/>
        <w:rPr>
          <w:color w:val="auto"/>
        </w:rPr>
      </w:pPr>
      <w:r>
        <w:rPr>
          <w:rFonts w:hint="eastAsia"/>
          <w:color w:val="auto"/>
        </w:rPr>
        <w:t>人行道设置无障碍设施，铺设行进盲道，以引导视力残疾者利用脚底的触感行走。行进盲道在路段上连续铺设，行进盲道宽度0.30m。行进盲道转折处设提示盲道。</w:t>
      </w:r>
    </w:p>
    <w:p w14:paraId="334DBC40">
      <w:pPr>
        <w:ind w:firstLine="480"/>
        <w:rPr>
          <w:color w:val="auto"/>
        </w:rPr>
      </w:pPr>
      <w:r>
        <w:rPr>
          <w:rFonts w:hint="eastAsia"/>
          <w:color w:val="auto"/>
        </w:rPr>
        <w:t>交叉口人行道在对应人行横道线的缘石部位设置缘石坡道，坡道下口</w:t>
      </w:r>
      <w:r>
        <w:rPr>
          <w:rFonts w:hint="eastAsia"/>
          <w:color w:val="auto"/>
          <w:lang w:val="en-US" w:eastAsia="zh-CN"/>
        </w:rPr>
        <w:t>与</w:t>
      </w:r>
      <w:r>
        <w:rPr>
          <w:rFonts w:hint="eastAsia"/>
          <w:color w:val="auto"/>
        </w:rPr>
        <w:t>车行道的地面</w:t>
      </w:r>
      <w:r>
        <w:rPr>
          <w:rFonts w:hint="eastAsia"/>
          <w:color w:val="auto"/>
          <w:lang w:val="en-US" w:eastAsia="zh-CN"/>
        </w:rPr>
        <w:t>接顺</w:t>
      </w:r>
      <w:r>
        <w:rPr>
          <w:rFonts w:hint="eastAsia"/>
          <w:color w:val="auto"/>
        </w:rPr>
        <w:t>。交叉口人行横道线贯通道路两侧，经过道路与隔离带处压低高度，满足轮椅车通行。</w:t>
      </w:r>
    </w:p>
    <w:p w14:paraId="086D1B3C">
      <w:pPr>
        <w:ind w:firstLine="480"/>
        <w:rPr>
          <w:color w:val="auto"/>
        </w:rPr>
      </w:pPr>
      <w:r>
        <w:rPr>
          <w:rFonts w:hint="eastAsia"/>
          <w:color w:val="auto"/>
        </w:rPr>
        <w:t>无障碍指示标志</w:t>
      </w:r>
      <w:r>
        <w:rPr>
          <w:color w:val="auto"/>
        </w:rPr>
        <w:t>：</w:t>
      </w:r>
      <w:r>
        <w:rPr>
          <w:rFonts w:hint="eastAsia"/>
          <w:color w:val="auto"/>
        </w:rPr>
        <w:t>在路段上、交叉口、出入口、人行天桥等地方设置残疾人指示标志，配合盲道及缘石坡道的设计，供残疾人使用。</w:t>
      </w:r>
    </w:p>
    <w:p w14:paraId="283119AD">
      <w:pPr>
        <w:pStyle w:val="3"/>
        <w:bidi w:val="0"/>
        <w:ind w:firstLine="198"/>
        <w:rPr>
          <w:rFonts w:hint="eastAsia" w:ascii="Times New Roman" w:hAnsi="Times New Roman" w:eastAsia="宋体"/>
        </w:rPr>
      </w:pPr>
      <w:r>
        <w:rPr>
          <w:rFonts w:hint="eastAsia" w:ascii="Times New Roman" w:hAnsi="Times New Roman" w:eastAsia="宋体"/>
        </w:rPr>
        <w:t>五、水泥稳定碎石施工</w:t>
      </w:r>
    </w:p>
    <w:p w14:paraId="64C1288D">
      <w:pPr>
        <w:ind w:firstLine="480"/>
        <w:rPr>
          <w:color w:val="auto"/>
        </w:rPr>
      </w:pPr>
      <w:r>
        <w:rPr>
          <w:rFonts w:hint="eastAsia"/>
          <w:color w:val="auto"/>
        </w:rPr>
        <w:t>本工程仅对破损的路面基层进行修复，具体修复位置以现场确定。</w:t>
      </w:r>
    </w:p>
    <w:p w14:paraId="67790982">
      <w:pPr>
        <w:ind w:firstLine="480"/>
        <w:rPr>
          <w:color w:val="auto"/>
        </w:rPr>
      </w:pPr>
      <w:r>
        <w:rPr>
          <w:rFonts w:hint="eastAsia"/>
          <w:color w:val="auto"/>
        </w:rPr>
        <w:t xml:space="preserve">1)、施工之前测定混合料的最佳含水量，并根据施工时的气候条件确定施工时的含水量。   </w:t>
      </w:r>
    </w:p>
    <w:p w14:paraId="7D66FBD2">
      <w:pPr>
        <w:ind w:firstLine="480"/>
        <w:rPr>
          <w:color w:val="auto"/>
        </w:rPr>
      </w:pPr>
      <w:r>
        <w:rPr>
          <w:rFonts w:hint="eastAsia"/>
          <w:color w:val="auto"/>
        </w:rPr>
        <w:t>2)、压实工序应在初凝以前完成，压实厚度一次以15~20厘米为宜。</w:t>
      </w:r>
    </w:p>
    <w:p w14:paraId="1204B593">
      <w:pPr>
        <w:ind w:firstLine="480"/>
        <w:rPr>
          <w:color w:val="auto"/>
        </w:rPr>
      </w:pPr>
      <w:r>
        <w:rPr>
          <w:rFonts w:hint="eastAsia"/>
          <w:color w:val="auto"/>
        </w:rPr>
        <w:t>3)、 拌和、摊铺：可采用现场拌和法施工、机械拌和人工拌和均可。边拌边加水，必须使混合料和水泥充分拌和均匀，然后进行摊铺，摊铺时，其厚度必须均匀一致，同时应符合纵横断面的要求，松铺厚度宜试铺决定。</w:t>
      </w:r>
    </w:p>
    <w:p w14:paraId="695F4464">
      <w:pPr>
        <w:ind w:firstLine="480"/>
        <w:rPr>
          <w:color w:val="auto"/>
        </w:rPr>
      </w:pPr>
      <w:r>
        <w:rPr>
          <w:rFonts w:hint="eastAsia"/>
          <w:color w:val="auto"/>
        </w:rPr>
        <w:t>4)、 碾压：混合料摊铺后要进行平整，然后压实。碾压时先用轻型压路机进行碾压，碾压过程中注意找平，及时铲高补低，填补处要翻松料，重新压实成整体，最后，用中型或重型压路机碾压直到表面平整，无明显轮迹为止。</w:t>
      </w:r>
    </w:p>
    <w:p w14:paraId="518B53E5">
      <w:pPr>
        <w:ind w:firstLine="480"/>
        <w:rPr>
          <w:color w:val="auto"/>
        </w:rPr>
      </w:pPr>
      <w:r>
        <w:rPr>
          <w:rFonts w:hint="eastAsia"/>
          <w:color w:val="auto"/>
        </w:rPr>
        <w:t>5)、水泥稳定基层达到强度后应对基层表面进行回弹模量的测量。</w:t>
      </w:r>
    </w:p>
    <w:p w14:paraId="702312CB">
      <w:pPr>
        <w:ind w:firstLine="480"/>
        <w:rPr>
          <w:color w:val="auto"/>
        </w:rPr>
      </w:pPr>
      <w:r>
        <w:rPr>
          <w:rFonts w:hint="eastAsia"/>
          <w:color w:val="auto"/>
        </w:rPr>
        <w:t>6)、基层集料要求：</w:t>
      </w:r>
    </w:p>
    <w:p w14:paraId="481885F6">
      <w:pPr>
        <w:ind w:firstLine="480"/>
        <w:rPr>
          <w:color w:val="auto"/>
        </w:rPr>
      </w:pPr>
      <w:r>
        <w:rPr>
          <w:rFonts w:hint="eastAsia"/>
          <w:color w:val="auto"/>
        </w:rPr>
        <w:t>水泥稳定类基层及底基层，其集料的级配范围应符合下表规定</w:t>
      </w:r>
    </w:p>
    <w:p w14:paraId="5080F37C">
      <w:pPr>
        <w:ind w:firstLine="3535" w:firstLineChars="1467"/>
        <w:rPr>
          <w:rFonts w:ascii="宋体" w:hAnsi="宋体"/>
          <w:snapToGrid w:val="0"/>
          <w:color w:val="auto"/>
          <w:spacing w:val="8"/>
          <w:kern w:val="28"/>
        </w:rPr>
      </w:pPr>
      <w:r>
        <w:rPr>
          <w:rFonts w:hint="eastAsia" w:ascii="宋体" w:hAnsi="宋体"/>
          <w:b/>
          <w:color w:val="auto"/>
        </w:rPr>
        <w:t>水泥稳定类材料集料的级配范围</w:t>
      </w:r>
      <w:r>
        <w:rPr>
          <w:rFonts w:hint="eastAsia" w:ascii="宋体" w:hAnsi="宋体"/>
          <w:snapToGrid w:val="0"/>
          <w:color w:val="auto"/>
          <w:spacing w:val="8"/>
          <w:kern w:val="28"/>
        </w:rPr>
        <w:t xml:space="preserve">    </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2"/>
        <w:gridCol w:w="751"/>
        <w:gridCol w:w="926"/>
        <w:gridCol w:w="926"/>
        <w:gridCol w:w="926"/>
        <w:gridCol w:w="926"/>
        <w:gridCol w:w="926"/>
        <w:gridCol w:w="901"/>
        <w:gridCol w:w="912"/>
        <w:gridCol w:w="878"/>
        <w:gridCol w:w="853"/>
      </w:tblGrid>
      <w:tr w14:paraId="6E89F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72" w:type="dxa"/>
            <w:vAlign w:val="center"/>
          </w:tcPr>
          <w:p w14:paraId="17667700">
            <w:pPr>
              <w:ind w:firstLine="0" w:firstLineChars="0"/>
              <w:rPr>
                <w:rFonts w:ascii="宋体" w:hAnsi="宋体"/>
                <w:color w:val="auto"/>
              </w:rPr>
            </w:pPr>
          </w:p>
        </w:tc>
        <w:tc>
          <w:tcPr>
            <w:tcW w:w="751" w:type="dxa"/>
            <w:vAlign w:val="center"/>
          </w:tcPr>
          <w:p w14:paraId="17810537">
            <w:pPr>
              <w:ind w:firstLine="0" w:firstLineChars="0"/>
              <w:rPr>
                <w:rFonts w:ascii="宋体" w:hAnsi="宋体"/>
                <w:color w:val="auto"/>
              </w:rPr>
            </w:pPr>
            <w:r>
              <w:rPr>
                <w:rFonts w:hint="eastAsia" w:ascii="宋体" w:hAnsi="宋体"/>
                <w:color w:val="auto"/>
              </w:rPr>
              <w:t>40</w:t>
            </w:r>
          </w:p>
        </w:tc>
        <w:tc>
          <w:tcPr>
            <w:tcW w:w="926" w:type="dxa"/>
            <w:vAlign w:val="center"/>
          </w:tcPr>
          <w:p w14:paraId="731280D0">
            <w:pPr>
              <w:ind w:firstLine="0" w:firstLineChars="0"/>
              <w:rPr>
                <w:rFonts w:ascii="宋体" w:hAnsi="宋体"/>
                <w:color w:val="auto"/>
              </w:rPr>
            </w:pPr>
            <w:r>
              <w:rPr>
                <w:rFonts w:hint="eastAsia" w:ascii="宋体" w:hAnsi="宋体"/>
                <w:color w:val="auto"/>
              </w:rPr>
              <w:t>31.5</w:t>
            </w:r>
          </w:p>
        </w:tc>
        <w:tc>
          <w:tcPr>
            <w:tcW w:w="926" w:type="dxa"/>
            <w:vAlign w:val="center"/>
          </w:tcPr>
          <w:p w14:paraId="59BCC4C7">
            <w:pPr>
              <w:ind w:firstLine="0" w:firstLineChars="0"/>
              <w:rPr>
                <w:rFonts w:ascii="宋体" w:hAnsi="宋体"/>
                <w:color w:val="auto"/>
              </w:rPr>
            </w:pPr>
            <w:r>
              <w:rPr>
                <w:rFonts w:hint="eastAsia" w:ascii="宋体" w:hAnsi="宋体"/>
                <w:color w:val="auto"/>
              </w:rPr>
              <w:t>19</w:t>
            </w:r>
          </w:p>
        </w:tc>
        <w:tc>
          <w:tcPr>
            <w:tcW w:w="926" w:type="dxa"/>
            <w:vAlign w:val="center"/>
          </w:tcPr>
          <w:p w14:paraId="3DD9E772">
            <w:pPr>
              <w:ind w:firstLine="0" w:firstLineChars="0"/>
              <w:rPr>
                <w:rFonts w:ascii="宋体" w:hAnsi="宋体"/>
                <w:color w:val="auto"/>
              </w:rPr>
            </w:pPr>
            <w:r>
              <w:rPr>
                <w:rFonts w:hint="eastAsia" w:ascii="宋体" w:hAnsi="宋体"/>
                <w:color w:val="auto"/>
              </w:rPr>
              <w:t>9.5</w:t>
            </w:r>
          </w:p>
        </w:tc>
        <w:tc>
          <w:tcPr>
            <w:tcW w:w="926" w:type="dxa"/>
            <w:vAlign w:val="center"/>
          </w:tcPr>
          <w:p w14:paraId="042922FD">
            <w:pPr>
              <w:ind w:firstLine="0" w:firstLineChars="0"/>
              <w:rPr>
                <w:rFonts w:ascii="宋体" w:hAnsi="宋体"/>
                <w:color w:val="auto"/>
              </w:rPr>
            </w:pPr>
            <w:r>
              <w:rPr>
                <w:rFonts w:hint="eastAsia" w:ascii="宋体" w:hAnsi="宋体"/>
                <w:color w:val="auto"/>
              </w:rPr>
              <w:t>4.75</w:t>
            </w:r>
          </w:p>
        </w:tc>
        <w:tc>
          <w:tcPr>
            <w:tcW w:w="926" w:type="dxa"/>
            <w:vAlign w:val="center"/>
          </w:tcPr>
          <w:p w14:paraId="41F59140">
            <w:pPr>
              <w:ind w:firstLine="0" w:firstLineChars="0"/>
              <w:rPr>
                <w:rFonts w:ascii="宋体" w:hAnsi="宋体"/>
                <w:color w:val="auto"/>
              </w:rPr>
            </w:pPr>
            <w:r>
              <w:rPr>
                <w:rFonts w:hint="eastAsia" w:ascii="宋体" w:hAnsi="宋体"/>
                <w:color w:val="auto"/>
              </w:rPr>
              <w:t>2.36</w:t>
            </w:r>
          </w:p>
        </w:tc>
        <w:tc>
          <w:tcPr>
            <w:tcW w:w="901" w:type="dxa"/>
            <w:vAlign w:val="center"/>
          </w:tcPr>
          <w:p w14:paraId="04332555">
            <w:pPr>
              <w:ind w:firstLine="0" w:firstLineChars="0"/>
              <w:rPr>
                <w:rFonts w:ascii="宋体" w:hAnsi="宋体"/>
                <w:color w:val="auto"/>
              </w:rPr>
            </w:pPr>
            <w:r>
              <w:rPr>
                <w:rFonts w:hint="eastAsia" w:ascii="宋体" w:hAnsi="宋体"/>
                <w:color w:val="auto"/>
              </w:rPr>
              <w:t>0.6</w:t>
            </w:r>
          </w:p>
        </w:tc>
        <w:tc>
          <w:tcPr>
            <w:tcW w:w="912" w:type="dxa"/>
            <w:vAlign w:val="center"/>
          </w:tcPr>
          <w:p w14:paraId="007E8BA6">
            <w:pPr>
              <w:ind w:firstLine="0" w:firstLineChars="0"/>
              <w:rPr>
                <w:rFonts w:ascii="宋体" w:hAnsi="宋体"/>
                <w:color w:val="auto"/>
              </w:rPr>
            </w:pPr>
            <w:r>
              <w:rPr>
                <w:rFonts w:hint="eastAsia" w:ascii="宋体" w:hAnsi="宋体"/>
                <w:color w:val="auto"/>
              </w:rPr>
              <w:t>0.075</w:t>
            </w:r>
          </w:p>
        </w:tc>
        <w:tc>
          <w:tcPr>
            <w:tcW w:w="878" w:type="dxa"/>
            <w:vAlign w:val="center"/>
          </w:tcPr>
          <w:p w14:paraId="292A8A61">
            <w:pPr>
              <w:ind w:firstLine="0" w:firstLineChars="0"/>
              <w:rPr>
                <w:rFonts w:ascii="宋体" w:hAnsi="宋体"/>
                <w:color w:val="auto"/>
              </w:rPr>
            </w:pPr>
            <w:r>
              <w:rPr>
                <w:rFonts w:hint="eastAsia" w:ascii="宋体" w:hAnsi="宋体"/>
                <w:color w:val="auto"/>
              </w:rPr>
              <w:t>液限</w:t>
            </w:r>
          </w:p>
        </w:tc>
        <w:tc>
          <w:tcPr>
            <w:tcW w:w="853" w:type="dxa"/>
            <w:vAlign w:val="center"/>
          </w:tcPr>
          <w:p w14:paraId="73DA19EB">
            <w:pPr>
              <w:ind w:firstLine="0" w:firstLineChars="0"/>
              <w:rPr>
                <w:rFonts w:ascii="宋体" w:hAnsi="宋体"/>
                <w:color w:val="auto"/>
              </w:rPr>
            </w:pPr>
            <w:r>
              <w:rPr>
                <w:rFonts w:hint="eastAsia" w:ascii="宋体" w:hAnsi="宋体"/>
                <w:color w:val="auto"/>
              </w:rPr>
              <w:t>塑限</w:t>
            </w:r>
          </w:p>
        </w:tc>
      </w:tr>
      <w:tr w14:paraId="2D96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72" w:type="dxa"/>
            <w:vAlign w:val="center"/>
          </w:tcPr>
          <w:p w14:paraId="31946447">
            <w:pPr>
              <w:ind w:firstLine="0" w:firstLineChars="0"/>
              <w:rPr>
                <w:rFonts w:ascii="宋体" w:hAnsi="宋体"/>
                <w:color w:val="auto"/>
              </w:rPr>
            </w:pPr>
            <w:r>
              <w:rPr>
                <w:rFonts w:hint="eastAsia" w:ascii="宋体" w:hAnsi="宋体"/>
                <w:color w:val="auto"/>
              </w:rPr>
              <w:t>基层</w:t>
            </w:r>
          </w:p>
        </w:tc>
        <w:tc>
          <w:tcPr>
            <w:tcW w:w="751" w:type="dxa"/>
            <w:vAlign w:val="center"/>
          </w:tcPr>
          <w:p w14:paraId="4852DC84">
            <w:pPr>
              <w:ind w:firstLine="480"/>
              <w:jc w:val="center"/>
              <w:rPr>
                <w:rFonts w:ascii="宋体" w:hAnsi="宋体"/>
                <w:color w:val="auto"/>
              </w:rPr>
            </w:pPr>
          </w:p>
        </w:tc>
        <w:tc>
          <w:tcPr>
            <w:tcW w:w="926" w:type="dxa"/>
            <w:vAlign w:val="center"/>
          </w:tcPr>
          <w:p w14:paraId="25C3DDEA">
            <w:pPr>
              <w:ind w:firstLine="0" w:firstLineChars="0"/>
              <w:rPr>
                <w:rFonts w:ascii="宋体" w:hAnsi="宋体"/>
                <w:color w:val="auto"/>
              </w:rPr>
            </w:pPr>
            <w:r>
              <w:rPr>
                <w:rFonts w:ascii="宋体" w:hAnsi="宋体"/>
                <w:color w:val="auto"/>
              </w:rPr>
              <w:t>100</w:t>
            </w:r>
          </w:p>
        </w:tc>
        <w:tc>
          <w:tcPr>
            <w:tcW w:w="926" w:type="dxa"/>
            <w:vAlign w:val="center"/>
          </w:tcPr>
          <w:p w14:paraId="4B43269C">
            <w:pPr>
              <w:ind w:firstLine="0" w:firstLineChars="0"/>
              <w:rPr>
                <w:rFonts w:ascii="宋体" w:hAnsi="宋体"/>
                <w:color w:val="auto"/>
              </w:rPr>
            </w:pPr>
            <w:r>
              <w:rPr>
                <w:rFonts w:ascii="宋体" w:hAnsi="宋体"/>
                <w:color w:val="auto"/>
              </w:rPr>
              <w:t>88~99</w:t>
            </w:r>
          </w:p>
        </w:tc>
        <w:tc>
          <w:tcPr>
            <w:tcW w:w="926" w:type="dxa"/>
            <w:vAlign w:val="center"/>
          </w:tcPr>
          <w:p w14:paraId="70113C01">
            <w:pPr>
              <w:ind w:firstLine="0" w:firstLineChars="0"/>
              <w:rPr>
                <w:rFonts w:ascii="宋体" w:hAnsi="宋体"/>
                <w:color w:val="auto"/>
              </w:rPr>
            </w:pPr>
            <w:r>
              <w:rPr>
                <w:rFonts w:ascii="宋体" w:hAnsi="宋体"/>
                <w:color w:val="auto"/>
              </w:rPr>
              <w:t>57~77</w:t>
            </w:r>
          </w:p>
        </w:tc>
        <w:tc>
          <w:tcPr>
            <w:tcW w:w="926" w:type="dxa"/>
            <w:vAlign w:val="center"/>
          </w:tcPr>
          <w:p w14:paraId="3DB56156">
            <w:pPr>
              <w:ind w:firstLine="0" w:firstLineChars="0"/>
              <w:rPr>
                <w:rFonts w:ascii="宋体" w:hAnsi="宋体"/>
                <w:color w:val="auto"/>
              </w:rPr>
            </w:pPr>
            <w:r>
              <w:rPr>
                <w:rFonts w:ascii="宋体" w:hAnsi="宋体"/>
                <w:color w:val="auto"/>
              </w:rPr>
              <w:t>29~49</w:t>
            </w:r>
          </w:p>
        </w:tc>
        <w:tc>
          <w:tcPr>
            <w:tcW w:w="926" w:type="dxa"/>
            <w:vAlign w:val="center"/>
          </w:tcPr>
          <w:p w14:paraId="7D7F8D0D">
            <w:pPr>
              <w:ind w:firstLine="0" w:firstLineChars="0"/>
              <w:rPr>
                <w:rFonts w:ascii="宋体" w:hAnsi="宋体"/>
                <w:color w:val="auto"/>
              </w:rPr>
            </w:pPr>
            <w:r>
              <w:rPr>
                <w:rFonts w:ascii="宋体" w:hAnsi="宋体"/>
                <w:color w:val="auto"/>
              </w:rPr>
              <w:t>17~35</w:t>
            </w:r>
          </w:p>
        </w:tc>
        <w:tc>
          <w:tcPr>
            <w:tcW w:w="901" w:type="dxa"/>
            <w:vAlign w:val="center"/>
          </w:tcPr>
          <w:p w14:paraId="533DCB85">
            <w:pPr>
              <w:ind w:firstLine="0" w:firstLineChars="0"/>
              <w:rPr>
                <w:rFonts w:ascii="宋体" w:hAnsi="宋体"/>
                <w:color w:val="auto"/>
              </w:rPr>
            </w:pPr>
            <w:r>
              <w:rPr>
                <w:rFonts w:ascii="宋体" w:hAnsi="宋体"/>
                <w:color w:val="auto"/>
              </w:rPr>
              <w:t>8~22</w:t>
            </w:r>
          </w:p>
        </w:tc>
        <w:tc>
          <w:tcPr>
            <w:tcW w:w="912" w:type="dxa"/>
            <w:vAlign w:val="center"/>
          </w:tcPr>
          <w:p w14:paraId="41EE63C1">
            <w:pPr>
              <w:ind w:firstLine="0" w:firstLineChars="0"/>
              <w:rPr>
                <w:rFonts w:ascii="宋体" w:hAnsi="宋体"/>
                <w:color w:val="auto"/>
              </w:rPr>
            </w:pPr>
            <w:r>
              <w:rPr>
                <w:rFonts w:ascii="宋体" w:hAnsi="宋体"/>
                <w:color w:val="auto"/>
              </w:rPr>
              <w:t>0~7</w:t>
            </w:r>
          </w:p>
        </w:tc>
        <w:tc>
          <w:tcPr>
            <w:tcW w:w="878" w:type="dxa"/>
            <w:vAlign w:val="center"/>
          </w:tcPr>
          <w:p w14:paraId="7FB0EC3D">
            <w:pPr>
              <w:ind w:firstLine="0" w:firstLineChars="0"/>
              <w:rPr>
                <w:rFonts w:ascii="宋体" w:hAnsi="宋体"/>
                <w:color w:val="auto"/>
              </w:rPr>
            </w:pPr>
            <w:r>
              <w:rPr>
                <w:rFonts w:ascii="宋体" w:hAnsi="宋体"/>
                <w:color w:val="auto"/>
              </w:rPr>
              <w:t>&lt;28</w:t>
            </w:r>
          </w:p>
        </w:tc>
        <w:tc>
          <w:tcPr>
            <w:tcW w:w="853" w:type="dxa"/>
            <w:vAlign w:val="center"/>
          </w:tcPr>
          <w:p w14:paraId="3DBAF5E3">
            <w:pPr>
              <w:ind w:firstLine="0" w:firstLineChars="0"/>
              <w:rPr>
                <w:rFonts w:ascii="宋体" w:hAnsi="宋体"/>
                <w:color w:val="auto"/>
              </w:rPr>
            </w:pPr>
            <w:r>
              <w:rPr>
                <w:rFonts w:ascii="宋体" w:hAnsi="宋体"/>
                <w:color w:val="auto"/>
              </w:rPr>
              <w:t>&lt;9</w:t>
            </w:r>
          </w:p>
        </w:tc>
      </w:tr>
      <w:tr w14:paraId="237C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972" w:type="dxa"/>
            <w:vAlign w:val="center"/>
          </w:tcPr>
          <w:p w14:paraId="02E4587A">
            <w:pPr>
              <w:ind w:firstLine="0" w:firstLineChars="0"/>
              <w:rPr>
                <w:rFonts w:ascii="宋体" w:hAnsi="宋体"/>
                <w:color w:val="auto"/>
              </w:rPr>
            </w:pPr>
            <w:r>
              <w:rPr>
                <w:rFonts w:hint="eastAsia" w:ascii="宋体" w:hAnsi="宋体"/>
                <w:color w:val="auto"/>
              </w:rPr>
              <w:t>底基层</w:t>
            </w:r>
          </w:p>
        </w:tc>
        <w:tc>
          <w:tcPr>
            <w:tcW w:w="751" w:type="dxa"/>
            <w:vAlign w:val="center"/>
          </w:tcPr>
          <w:p w14:paraId="749C1A06">
            <w:pPr>
              <w:ind w:firstLine="0" w:firstLineChars="0"/>
              <w:rPr>
                <w:rFonts w:ascii="宋体" w:hAnsi="宋体"/>
                <w:color w:val="auto"/>
              </w:rPr>
            </w:pPr>
            <w:r>
              <w:rPr>
                <w:rFonts w:ascii="宋体" w:hAnsi="宋体"/>
                <w:color w:val="auto"/>
              </w:rPr>
              <w:t>100</w:t>
            </w:r>
          </w:p>
        </w:tc>
        <w:tc>
          <w:tcPr>
            <w:tcW w:w="926" w:type="dxa"/>
            <w:vAlign w:val="center"/>
          </w:tcPr>
          <w:p w14:paraId="7DFC9922">
            <w:pPr>
              <w:ind w:firstLine="0" w:firstLineChars="0"/>
              <w:rPr>
                <w:rFonts w:ascii="宋体" w:hAnsi="宋体"/>
                <w:color w:val="auto"/>
              </w:rPr>
            </w:pPr>
            <w:r>
              <w:rPr>
                <w:rFonts w:ascii="宋体" w:hAnsi="宋体"/>
                <w:color w:val="auto"/>
              </w:rPr>
              <w:t>93~98</w:t>
            </w:r>
          </w:p>
        </w:tc>
        <w:tc>
          <w:tcPr>
            <w:tcW w:w="926" w:type="dxa"/>
            <w:vAlign w:val="center"/>
          </w:tcPr>
          <w:p w14:paraId="304F269A">
            <w:pPr>
              <w:ind w:firstLine="0" w:firstLineChars="0"/>
              <w:rPr>
                <w:rFonts w:ascii="宋体" w:hAnsi="宋体"/>
                <w:color w:val="auto"/>
              </w:rPr>
            </w:pPr>
            <w:r>
              <w:rPr>
                <w:rFonts w:ascii="宋体" w:hAnsi="宋体"/>
                <w:color w:val="auto"/>
              </w:rPr>
              <w:t>74~89</w:t>
            </w:r>
          </w:p>
        </w:tc>
        <w:tc>
          <w:tcPr>
            <w:tcW w:w="926" w:type="dxa"/>
            <w:vAlign w:val="center"/>
          </w:tcPr>
          <w:p w14:paraId="23DDA156">
            <w:pPr>
              <w:ind w:firstLine="0" w:firstLineChars="0"/>
              <w:rPr>
                <w:rFonts w:ascii="宋体" w:hAnsi="宋体"/>
                <w:color w:val="auto"/>
              </w:rPr>
            </w:pPr>
            <w:r>
              <w:rPr>
                <w:rFonts w:ascii="宋体" w:hAnsi="宋体"/>
                <w:color w:val="auto"/>
              </w:rPr>
              <w:t>49~69</w:t>
            </w:r>
          </w:p>
        </w:tc>
        <w:tc>
          <w:tcPr>
            <w:tcW w:w="926" w:type="dxa"/>
            <w:vAlign w:val="center"/>
          </w:tcPr>
          <w:p w14:paraId="44F7F5E3">
            <w:pPr>
              <w:ind w:firstLine="0" w:firstLineChars="0"/>
              <w:rPr>
                <w:rFonts w:ascii="宋体" w:hAnsi="宋体"/>
                <w:color w:val="auto"/>
              </w:rPr>
            </w:pPr>
            <w:r>
              <w:rPr>
                <w:rFonts w:ascii="宋体" w:hAnsi="宋体"/>
                <w:color w:val="auto"/>
              </w:rPr>
              <w:t>29~52</w:t>
            </w:r>
          </w:p>
        </w:tc>
        <w:tc>
          <w:tcPr>
            <w:tcW w:w="926" w:type="dxa"/>
            <w:vAlign w:val="center"/>
          </w:tcPr>
          <w:p w14:paraId="2228C239">
            <w:pPr>
              <w:ind w:firstLine="0" w:firstLineChars="0"/>
              <w:rPr>
                <w:rFonts w:ascii="宋体" w:hAnsi="宋体"/>
                <w:color w:val="auto"/>
              </w:rPr>
            </w:pPr>
            <w:r>
              <w:rPr>
                <w:rFonts w:ascii="宋体" w:hAnsi="宋体"/>
                <w:color w:val="auto"/>
              </w:rPr>
              <w:t>18~38</w:t>
            </w:r>
          </w:p>
        </w:tc>
        <w:tc>
          <w:tcPr>
            <w:tcW w:w="901" w:type="dxa"/>
            <w:vAlign w:val="center"/>
          </w:tcPr>
          <w:p w14:paraId="6249515C">
            <w:pPr>
              <w:ind w:firstLine="0" w:firstLineChars="0"/>
              <w:rPr>
                <w:rFonts w:ascii="宋体" w:hAnsi="宋体"/>
                <w:color w:val="auto"/>
              </w:rPr>
            </w:pPr>
            <w:r>
              <w:rPr>
                <w:rFonts w:ascii="宋体" w:hAnsi="宋体"/>
                <w:color w:val="auto"/>
              </w:rPr>
              <w:t>8~22</w:t>
            </w:r>
          </w:p>
        </w:tc>
        <w:tc>
          <w:tcPr>
            <w:tcW w:w="912" w:type="dxa"/>
            <w:vAlign w:val="center"/>
          </w:tcPr>
          <w:p w14:paraId="763FF57D">
            <w:pPr>
              <w:ind w:firstLine="0" w:firstLineChars="0"/>
              <w:rPr>
                <w:rFonts w:ascii="宋体" w:hAnsi="宋体"/>
                <w:color w:val="auto"/>
              </w:rPr>
            </w:pPr>
            <w:r>
              <w:rPr>
                <w:rFonts w:ascii="宋体" w:hAnsi="宋体"/>
                <w:color w:val="auto"/>
              </w:rPr>
              <w:t>0~7</w:t>
            </w:r>
          </w:p>
        </w:tc>
        <w:tc>
          <w:tcPr>
            <w:tcW w:w="878" w:type="dxa"/>
            <w:vAlign w:val="center"/>
          </w:tcPr>
          <w:p w14:paraId="41DB9857">
            <w:pPr>
              <w:ind w:firstLine="0" w:firstLineChars="0"/>
              <w:rPr>
                <w:rFonts w:ascii="宋体" w:hAnsi="宋体"/>
                <w:color w:val="auto"/>
              </w:rPr>
            </w:pPr>
            <w:r>
              <w:rPr>
                <w:rFonts w:ascii="宋体" w:hAnsi="宋体"/>
                <w:color w:val="auto"/>
              </w:rPr>
              <w:t>&lt;28</w:t>
            </w:r>
          </w:p>
        </w:tc>
        <w:tc>
          <w:tcPr>
            <w:tcW w:w="853" w:type="dxa"/>
            <w:vAlign w:val="center"/>
          </w:tcPr>
          <w:p w14:paraId="0FEE0CC6">
            <w:pPr>
              <w:ind w:firstLine="0" w:firstLineChars="0"/>
              <w:rPr>
                <w:rFonts w:ascii="宋体" w:hAnsi="宋体"/>
                <w:color w:val="auto"/>
              </w:rPr>
            </w:pPr>
            <w:r>
              <w:rPr>
                <w:rFonts w:ascii="宋体" w:hAnsi="宋体"/>
                <w:color w:val="auto"/>
              </w:rPr>
              <w:t>&lt;9</w:t>
            </w:r>
          </w:p>
        </w:tc>
      </w:tr>
    </w:tbl>
    <w:p w14:paraId="0658B864">
      <w:pPr>
        <w:ind w:firstLine="480"/>
        <w:rPr>
          <w:color w:val="auto"/>
        </w:rPr>
      </w:pPr>
      <w:r>
        <w:rPr>
          <w:rFonts w:hint="eastAsia"/>
          <w:color w:val="auto"/>
        </w:rPr>
        <w:t>注：集料中含用塑性指数的土时，小于0.0075</w:t>
      </w:r>
      <w:r>
        <w:rPr>
          <w:color w:val="auto"/>
        </w:rPr>
        <w:t>mm</w:t>
      </w:r>
      <w:r>
        <w:rPr>
          <w:rFonts w:hint="eastAsia"/>
          <w:color w:val="auto"/>
        </w:rPr>
        <w:t>的颗粒含量不应超5％。</w:t>
      </w:r>
    </w:p>
    <w:p w14:paraId="28CCF663">
      <w:pPr>
        <w:ind w:firstLine="480"/>
        <w:rPr>
          <w:color w:val="auto"/>
        </w:rPr>
      </w:pPr>
      <w:r>
        <w:rPr>
          <w:rFonts w:hint="eastAsia"/>
          <w:color w:val="auto"/>
        </w:rPr>
        <w:t>水泥稳定层的配合比设计，根据七天抗压强度试验确定，水泥稳定级配碎石基层七天抗压强度应到设计要求，根据这一标准，确定施工水泥实际用量，基层的压实度应达到98％，基层施工应采用集中拌和，摊铺机摊铺的工艺，底基层也宜用集中拌和，以保证质量。</w:t>
      </w:r>
    </w:p>
    <w:p w14:paraId="3EF89FFC">
      <w:pPr>
        <w:ind w:firstLine="480"/>
        <w:rPr>
          <w:color w:val="auto"/>
        </w:rPr>
      </w:pPr>
      <w:r>
        <w:rPr>
          <w:rFonts w:hint="eastAsia"/>
          <w:color w:val="auto"/>
        </w:rPr>
        <w:t>7)、其它注意事项</w:t>
      </w:r>
    </w:p>
    <w:p w14:paraId="52547326">
      <w:pPr>
        <w:ind w:firstLine="480"/>
        <w:rPr>
          <w:color w:val="auto"/>
        </w:rPr>
      </w:pPr>
      <w:r>
        <w:rPr>
          <w:rFonts w:hint="eastAsia"/>
          <w:color w:val="auto"/>
        </w:rPr>
        <w:t>a) 分层施工时，在施工上层之前应先洒水湿润底层。</w:t>
      </w:r>
    </w:p>
    <w:p w14:paraId="2F6A5670">
      <w:pPr>
        <w:ind w:firstLine="480"/>
        <w:rPr>
          <w:color w:val="auto"/>
        </w:rPr>
      </w:pPr>
      <w:r>
        <w:rPr>
          <w:rFonts w:hint="eastAsia"/>
          <w:color w:val="auto"/>
        </w:rPr>
        <w:t>b) 避免雨天施工。</w:t>
      </w:r>
    </w:p>
    <w:p w14:paraId="107B04EA">
      <w:pPr>
        <w:ind w:firstLine="480"/>
        <w:rPr>
          <w:color w:val="auto"/>
        </w:rPr>
      </w:pPr>
      <w:r>
        <w:rPr>
          <w:rFonts w:hint="eastAsia"/>
          <w:color w:val="auto"/>
        </w:rPr>
        <w:t>c) 成型后，必须及时洒水养护，每天洒水，洒水次数以表面湿润为准。</w:t>
      </w:r>
    </w:p>
    <w:p w14:paraId="3747597D">
      <w:pPr>
        <w:ind w:firstLine="480"/>
        <w:rPr>
          <w:color w:val="auto"/>
        </w:rPr>
      </w:pPr>
      <w:r>
        <w:rPr>
          <w:rFonts w:hint="eastAsia"/>
          <w:color w:val="auto"/>
        </w:rPr>
        <w:t>d) 水泥稳定碎石混合料从加水泥拌和到压实成型大约延迟时间（包括干拌时间）不应超过3小时。</w:t>
      </w:r>
    </w:p>
    <w:p w14:paraId="683D0DDF">
      <w:pPr>
        <w:ind w:firstLine="480"/>
        <w:rPr>
          <w:color w:val="auto"/>
        </w:rPr>
      </w:pPr>
      <w:r>
        <w:rPr>
          <w:rFonts w:hint="eastAsia"/>
          <w:color w:val="auto"/>
        </w:rPr>
        <w:t>e)碾压时不得加震碾压。</w:t>
      </w:r>
    </w:p>
    <w:p w14:paraId="78014488">
      <w:pPr>
        <w:ind w:firstLine="480"/>
        <w:rPr>
          <w:color w:val="auto"/>
        </w:rPr>
      </w:pPr>
      <w:r>
        <w:rPr>
          <w:rFonts w:hint="eastAsia"/>
          <w:color w:val="auto"/>
        </w:rPr>
        <w:t>f)养护时除洒水车养护通行外，其他车辆不得通行。</w:t>
      </w:r>
    </w:p>
    <w:p w14:paraId="123CC36B">
      <w:pPr>
        <w:ind w:firstLine="480"/>
        <w:rPr>
          <w:color w:val="auto"/>
        </w:rPr>
      </w:pPr>
      <w:r>
        <w:rPr>
          <w:rFonts w:hint="eastAsia"/>
          <w:color w:val="auto"/>
        </w:rPr>
        <w:t>8)、未尽事宜详见《公路路面基层施工技术细则》(JTG/T F20-2015)。</w:t>
      </w:r>
    </w:p>
    <w:p w14:paraId="12013BCF">
      <w:pPr>
        <w:pStyle w:val="3"/>
        <w:bidi w:val="0"/>
        <w:ind w:firstLine="198"/>
        <w:rPr>
          <w:rFonts w:ascii="宋体" w:hAnsi="宋体"/>
          <w:b/>
          <w:color w:val="auto"/>
        </w:rPr>
      </w:pPr>
      <w:r>
        <w:rPr>
          <w:rFonts w:hint="eastAsia" w:ascii="宋体" w:hAnsi="宋体"/>
          <w:b/>
          <w:color w:val="auto"/>
        </w:rPr>
        <w:t>六、</w:t>
      </w:r>
      <w:r>
        <w:rPr>
          <w:rFonts w:hint="eastAsia" w:ascii="Times New Roman" w:hAnsi="Times New Roman" w:eastAsia="宋体"/>
        </w:rPr>
        <w:t>混凝土</w:t>
      </w:r>
      <w:r>
        <w:rPr>
          <w:rFonts w:hint="eastAsia" w:ascii="宋体" w:hAnsi="宋体"/>
          <w:b/>
          <w:color w:val="auto"/>
        </w:rPr>
        <w:t>路面设计</w:t>
      </w:r>
    </w:p>
    <w:p w14:paraId="2D895E75">
      <w:pPr>
        <w:ind w:firstLine="480"/>
        <w:rPr>
          <w:color w:val="auto"/>
        </w:rPr>
      </w:pPr>
      <w:r>
        <w:rPr>
          <w:rFonts w:hint="eastAsia"/>
          <w:color w:val="auto"/>
        </w:rPr>
        <w:t>1、混凝土路面材料要求</w:t>
      </w:r>
    </w:p>
    <w:p w14:paraId="68399037">
      <w:pPr>
        <w:ind w:firstLine="480"/>
        <w:rPr>
          <w:color w:val="auto"/>
        </w:rPr>
      </w:pPr>
      <w:r>
        <w:rPr>
          <w:rFonts w:hint="eastAsia"/>
          <w:color w:val="auto"/>
        </w:rPr>
        <w:t>路面宜采用旋窑道路硅酸盐水泥，也可采用旋窑硅酸盐水泥或普通硅酸盐水泥，其物理性能及化学成分应符合现行的国家标准。</w:t>
      </w:r>
    </w:p>
    <w:p w14:paraId="7B22A8A1">
      <w:pPr>
        <w:ind w:firstLine="480"/>
        <w:rPr>
          <w:color w:val="auto"/>
        </w:rPr>
      </w:pPr>
      <w:r>
        <w:rPr>
          <w:rFonts w:hint="eastAsia"/>
          <w:color w:val="auto"/>
        </w:rPr>
        <w:t>组成水泥混凝土混合料的所有原材料的各项技术指标应满足《公路水泥混凝土路面设计规范》（JTG D40-2011）和《公路水泥混凝土路面施工技术细则》(</w:t>
      </w:r>
      <w:r>
        <w:rPr>
          <w:color w:val="auto"/>
        </w:rPr>
        <w:t>JTG</w:t>
      </w:r>
      <w:r>
        <w:rPr>
          <w:rFonts w:hint="eastAsia"/>
          <w:color w:val="auto"/>
        </w:rPr>
        <w:t>/</w:t>
      </w:r>
      <w:r>
        <w:rPr>
          <w:color w:val="auto"/>
        </w:rPr>
        <w:t>T F30-2014</w:t>
      </w:r>
      <w:r>
        <w:rPr>
          <w:rFonts w:hint="eastAsia"/>
          <w:color w:val="auto"/>
        </w:rPr>
        <w:t>)的规定。</w:t>
      </w:r>
    </w:p>
    <w:p w14:paraId="071A6003">
      <w:pPr>
        <w:ind w:firstLine="480"/>
        <w:rPr>
          <w:color w:val="auto"/>
        </w:rPr>
      </w:pPr>
      <w:r>
        <w:rPr>
          <w:rFonts w:hint="eastAsia"/>
          <w:color w:val="auto"/>
        </w:rPr>
        <w:t>A、水泥：</w:t>
      </w:r>
    </w:p>
    <w:p w14:paraId="6DD4EB8B">
      <w:pPr>
        <w:ind w:firstLine="480"/>
        <w:rPr>
          <w:color w:val="auto"/>
        </w:rPr>
      </w:pPr>
      <w:r>
        <w:rPr>
          <w:rFonts w:hint="eastAsia"/>
          <w:color w:val="auto"/>
        </w:rPr>
        <w:t>水泥采用普通硅酸盐水泥，其化学成分、物理性能等路用品质要求如表</w:t>
      </w:r>
    </w:p>
    <w:p w14:paraId="2DEE9C6E">
      <w:pPr>
        <w:ind w:firstLine="3535" w:firstLineChars="1467"/>
        <w:rPr>
          <w:rFonts w:ascii="宋体" w:hAnsi="宋体"/>
          <w:color w:val="auto"/>
        </w:rPr>
      </w:pPr>
      <w:r>
        <w:rPr>
          <w:rFonts w:hint="eastAsia" w:ascii="宋体" w:hAnsi="宋体"/>
          <w:b/>
          <w:color w:val="auto"/>
        </w:rPr>
        <w:t>水泥化学成分和物理指标</w:t>
      </w:r>
    </w:p>
    <w:tbl>
      <w:tblPr>
        <w:tblStyle w:val="88"/>
        <w:tblW w:w="0" w:type="auto"/>
        <w:tblInd w:w="8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5"/>
        <w:gridCol w:w="4736"/>
      </w:tblGrid>
      <w:tr w14:paraId="18A0C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267016FF">
            <w:pPr>
              <w:ind w:firstLine="480"/>
              <w:jc w:val="center"/>
              <w:rPr>
                <w:rFonts w:ascii="宋体" w:hAnsi="宋体"/>
                <w:color w:val="auto"/>
              </w:rPr>
            </w:pPr>
            <w:r>
              <w:rPr>
                <w:rFonts w:hint="eastAsia" w:ascii="宋体" w:hAnsi="宋体"/>
                <w:color w:val="auto"/>
              </w:rPr>
              <w:t>水泥性能</w:t>
            </w:r>
          </w:p>
        </w:tc>
        <w:tc>
          <w:tcPr>
            <w:tcW w:w="4736" w:type="dxa"/>
            <w:vAlign w:val="bottom"/>
          </w:tcPr>
          <w:p w14:paraId="365ECEB6">
            <w:pPr>
              <w:ind w:firstLine="480"/>
              <w:jc w:val="center"/>
              <w:rPr>
                <w:rFonts w:ascii="宋体" w:hAnsi="宋体"/>
                <w:color w:val="auto"/>
              </w:rPr>
            </w:pPr>
            <w:r>
              <w:rPr>
                <w:rFonts w:hint="eastAsia" w:ascii="宋体" w:hAnsi="宋体"/>
                <w:color w:val="auto"/>
              </w:rPr>
              <w:t>指标</w:t>
            </w:r>
          </w:p>
        </w:tc>
      </w:tr>
      <w:tr w14:paraId="1806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10BBD937">
            <w:pPr>
              <w:ind w:firstLine="480"/>
              <w:jc w:val="center"/>
              <w:rPr>
                <w:rFonts w:ascii="宋体" w:hAnsi="宋体"/>
                <w:color w:val="auto"/>
              </w:rPr>
            </w:pPr>
            <w:r>
              <w:rPr>
                <w:rFonts w:hint="eastAsia" w:ascii="宋体" w:hAnsi="宋体"/>
                <w:color w:val="auto"/>
              </w:rPr>
              <w:t>铝酸三钙含量</w:t>
            </w:r>
          </w:p>
        </w:tc>
        <w:tc>
          <w:tcPr>
            <w:tcW w:w="4736" w:type="dxa"/>
            <w:vAlign w:val="bottom"/>
          </w:tcPr>
          <w:p w14:paraId="513B0A28">
            <w:pPr>
              <w:ind w:firstLine="480"/>
              <w:jc w:val="center"/>
              <w:rPr>
                <w:rFonts w:ascii="宋体" w:hAnsi="宋体"/>
                <w:color w:val="auto"/>
              </w:rPr>
            </w:pPr>
            <w:r>
              <w:rPr>
                <w:rFonts w:hint="eastAsia" w:ascii="宋体" w:hAnsi="宋体"/>
                <w:color w:val="auto"/>
              </w:rPr>
              <w:t>≤9.0%</w:t>
            </w:r>
          </w:p>
        </w:tc>
      </w:tr>
      <w:tr w14:paraId="31409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436974E5">
            <w:pPr>
              <w:ind w:firstLine="480"/>
              <w:jc w:val="center"/>
              <w:rPr>
                <w:rFonts w:ascii="宋体" w:hAnsi="宋体"/>
                <w:color w:val="auto"/>
              </w:rPr>
            </w:pPr>
            <w:r>
              <w:rPr>
                <w:rFonts w:hint="eastAsia" w:ascii="宋体" w:hAnsi="宋体"/>
                <w:color w:val="auto"/>
              </w:rPr>
              <w:t>铁铝酸四钙含量</w:t>
            </w:r>
          </w:p>
        </w:tc>
        <w:tc>
          <w:tcPr>
            <w:tcW w:w="4736" w:type="dxa"/>
            <w:vAlign w:val="bottom"/>
          </w:tcPr>
          <w:p w14:paraId="060D651D">
            <w:pPr>
              <w:ind w:firstLine="480"/>
              <w:jc w:val="center"/>
              <w:rPr>
                <w:rFonts w:ascii="宋体" w:hAnsi="宋体"/>
                <w:color w:val="auto"/>
              </w:rPr>
            </w:pPr>
            <w:r>
              <w:rPr>
                <w:rFonts w:hint="eastAsia" w:ascii="宋体" w:hAnsi="宋体"/>
                <w:color w:val="auto"/>
              </w:rPr>
              <w:t>12.0%~20%</w:t>
            </w:r>
          </w:p>
        </w:tc>
      </w:tr>
      <w:tr w14:paraId="53EA0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5AC4EA80">
            <w:pPr>
              <w:ind w:firstLine="480"/>
              <w:jc w:val="center"/>
              <w:rPr>
                <w:rFonts w:ascii="宋体" w:hAnsi="宋体"/>
                <w:color w:val="auto"/>
              </w:rPr>
            </w:pPr>
            <w:r>
              <w:rPr>
                <w:rFonts w:hint="eastAsia" w:ascii="宋体" w:hAnsi="宋体"/>
                <w:color w:val="auto"/>
              </w:rPr>
              <w:t>熟料游离氧化钙含量</w:t>
            </w:r>
          </w:p>
        </w:tc>
        <w:tc>
          <w:tcPr>
            <w:tcW w:w="4736" w:type="dxa"/>
            <w:vAlign w:val="bottom"/>
          </w:tcPr>
          <w:p w14:paraId="77750B1F">
            <w:pPr>
              <w:ind w:firstLine="480"/>
              <w:jc w:val="center"/>
              <w:rPr>
                <w:rFonts w:ascii="宋体" w:hAnsi="宋体"/>
                <w:color w:val="auto"/>
              </w:rPr>
            </w:pPr>
            <w:r>
              <w:rPr>
                <w:rFonts w:hint="eastAsia" w:ascii="宋体" w:hAnsi="宋体"/>
                <w:color w:val="auto"/>
              </w:rPr>
              <w:t>≤1.8%</w:t>
            </w:r>
          </w:p>
        </w:tc>
      </w:tr>
      <w:tr w14:paraId="7D4DA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1A8FD42D">
            <w:pPr>
              <w:ind w:firstLine="480"/>
              <w:jc w:val="center"/>
              <w:rPr>
                <w:rFonts w:ascii="宋体" w:hAnsi="宋体"/>
                <w:color w:val="auto"/>
              </w:rPr>
            </w:pPr>
            <w:r>
              <w:rPr>
                <w:rFonts w:hint="eastAsia" w:ascii="宋体" w:hAnsi="宋体"/>
                <w:color w:val="auto"/>
              </w:rPr>
              <w:t>氧化鎂含量</w:t>
            </w:r>
          </w:p>
        </w:tc>
        <w:tc>
          <w:tcPr>
            <w:tcW w:w="4736" w:type="dxa"/>
            <w:vAlign w:val="bottom"/>
          </w:tcPr>
          <w:p w14:paraId="6583A638">
            <w:pPr>
              <w:ind w:firstLine="480"/>
              <w:jc w:val="center"/>
              <w:rPr>
                <w:rFonts w:ascii="宋体" w:hAnsi="宋体"/>
                <w:color w:val="auto"/>
              </w:rPr>
            </w:pPr>
            <w:r>
              <w:rPr>
                <w:rFonts w:hint="eastAsia" w:ascii="宋体" w:hAnsi="宋体"/>
                <w:color w:val="auto"/>
              </w:rPr>
              <w:t>≤6.0%</w:t>
            </w:r>
          </w:p>
        </w:tc>
      </w:tr>
      <w:tr w14:paraId="1B589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13F52740">
            <w:pPr>
              <w:ind w:firstLine="480"/>
              <w:jc w:val="center"/>
              <w:rPr>
                <w:rFonts w:ascii="宋体" w:hAnsi="宋体"/>
                <w:color w:val="auto"/>
              </w:rPr>
            </w:pPr>
            <w:r>
              <w:rPr>
                <w:rFonts w:hint="eastAsia" w:ascii="宋体" w:hAnsi="宋体"/>
                <w:color w:val="auto"/>
              </w:rPr>
              <w:t>三氧化硫含量</w:t>
            </w:r>
          </w:p>
        </w:tc>
        <w:tc>
          <w:tcPr>
            <w:tcW w:w="4736" w:type="dxa"/>
            <w:vAlign w:val="bottom"/>
          </w:tcPr>
          <w:p w14:paraId="59DD0268">
            <w:pPr>
              <w:ind w:firstLine="480"/>
              <w:jc w:val="center"/>
              <w:rPr>
                <w:rFonts w:ascii="宋体" w:hAnsi="宋体"/>
                <w:color w:val="auto"/>
              </w:rPr>
            </w:pPr>
            <w:r>
              <w:rPr>
                <w:rFonts w:hint="eastAsia" w:ascii="宋体" w:hAnsi="宋体"/>
                <w:color w:val="auto"/>
              </w:rPr>
              <w:t>≤4.0%</w:t>
            </w:r>
          </w:p>
        </w:tc>
      </w:tr>
      <w:tr w14:paraId="5688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4A7F65FA">
            <w:pPr>
              <w:ind w:firstLine="480"/>
              <w:jc w:val="center"/>
              <w:rPr>
                <w:rFonts w:ascii="宋体" w:hAnsi="宋体"/>
                <w:color w:val="auto"/>
              </w:rPr>
            </w:pPr>
            <w:r>
              <w:rPr>
                <w:rFonts w:hint="eastAsia" w:ascii="宋体" w:hAnsi="宋体"/>
                <w:color w:val="auto"/>
              </w:rPr>
              <w:t>碱含量</w:t>
            </w:r>
          </w:p>
        </w:tc>
        <w:tc>
          <w:tcPr>
            <w:tcW w:w="4736" w:type="dxa"/>
            <w:vAlign w:val="bottom"/>
          </w:tcPr>
          <w:p w14:paraId="3B7A7EFB">
            <w:pPr>
              <w:ind w:firstLine="480"/>
              <w:jc w:val="center"/>
              <w:rPr>
                <w:rFonts w:ascii="宋体" w:hAnsi="宋体"/>
                <w:color w:val="auto"/>
              </w:rPr>
            </w:pPr>
            <w:r>
              <w:rPr>
                <w:rFonts w:hint="eastAsia" w:ascii="宋体" w:hAnsi="宋体"/>
                <w:color w:val="auto"/>
              </w:rPr>
              <w:t>≤0.6%</w:t>
            </w:r>
          </w:p>
        </w:tc>
      </w:tr>
      <w:tr w14:paraId="7A028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64C444C9">
            <w:pPr>
              <w:ind w:firstLine="480"/>
              <w:jc w:val="center"/>
              <w:rPr>
                <w:rFonts w:ascii="宋体" w:hAnsi="宋体"/>
                <w:color w:val="auto"/>
              </w:rPr>
            </w:pPr>
            <w:r>
              <w:rPr>
                <w:rFonts w:hint="eastAsia" w:ascii="宋体" w:hAnsi="宋体"/>
                <w:color w:val="auto"/>
              </w:rPr>
              <w:t>混合材种类</w:t>
            </w:r>
          </w:p>
        </w:tc>
        <w:tc>
          <w:tcPr>
            <w:tcW w:w="4736" w:type="dxa"/>
            <w:vAlign w:val="bottom"/>
          </w:tcPr>
          <w:p w14:paraId="2596508A">
            <w:pPr>
              <w:ind w:firstLine="480"/>
              <w:jc w:val="center"/>
              <w:rPr>
                <w:rFonts w:ascii="宋体" w:hAnsi="宋体"/>
                <w:color w:val="auto"/>
              </w:rPr>
            </w:pPr>
            <w:r>
              <w:rPr>
                <w:rFonts w:hint="eastAsia" w:ascii="宋体" w:hAnsi="宋体"/>
                <w:color w:val="auto"/>
              </w:rPr>
              <w:t>不得掺窑灰、煤矸石、火山灰和粘土</w:t>
            </w:r>
          </w:p>
        </w:tc>
      </w:tr>
      <w:tr w14:paraId="53A32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6D1AA918">
            <w:pPr>
              <w:ind w:firstLine="480"/>
              <w:jc w:val="center"/>
              <w:rPr>
                <w:rFonts w:ascii="宋体" w:hAnsi="宋体"/>
                <w:color w:val="auto"/>
              </w:rPr>
            </w:pPr>
            <w:r>
              <w:rPr>
                <w:rFonts w:hint="eastAsia" w:ascii="宋体" w:hAnsi="宋体"/>
                <w:color w:val="auto"/>
              </w:rPr>
              <w:t>出磨时安全性</w:t>
            </w:r>
          </w:p>
        </w:tc>
        <w:tc>
          <w:tcPr>
            <w:tcW w:w="4736" w:type="dxa"/>
            <w:vAlign w:val="bottom"/>
          </w:tcPr>
          <w:p w14:paraId="422DC20A">
            <w:pPr>
              <w:ind w:firstLine="480"/>
              <w:jc w:val="center"/>
              <w:rPr>
                <w:rFonts w:ascii="宋体" w:hAnsi="宋体"/>
                <w:color w:val="auto"/>
              </w:rPr>
            </w:pPr>
            <w:r>
              <w:rPr>
                <w:rFonts w:hint="eastAsia" w:ascii="宋体" w:hAnsi="宋体"/>
                <w:color w:val="auto"/>
              </w:rPr>
              <w:t>蒸煮法检验必须合格</w:t>
            </w:r>
          </w:p>
        </w:tc>
      </w:tr>
      <w:tr w14:paraId="61A76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580679E7">
            <w:pPr>
              <w:ind w:firstLine="480"/>
              <w:jc w:val="center"/>
              <w:rPr>
                <w:rFonts w:ascii="宋体" w:hAnsi="宋体"/>
                <w:color w:val="auto"/>
              </w:rPr>
            </w:pPr>
            <w:r>
              <w:rPr>
                <w:rFonts w:hint="eastAsia" w:ascii="宋体" w:hAnsi="宋体"/>
                <w:color w:val="auto"/>
              </w:rPr>
              <w:t>标准稠度需水量</w:t>
            </w:r>
          </w:p>
        </w:tc>
        <w:tc>
          <w:tcPr>
            <w:tcW w:w="4736" w:type="dxa"/>
            <w:vAlign w:val="bottom"/>
          </w:tcPr>
          <w:p w14:paraId="082EF4F9">
            <w:pPr>
              <w:ind w:firstLine="480"/>
              <w:jc w:val="center"/>
              <w:rPr>
                <w:rFonts w:ascii="宋体" w:hAnsi="宋体"/>
                <w:color w:val="auto"/>
              </w:rPr>
            </w:pPr>
            <w:r>
              <w:rPr>
                <w:rFonts w:hint="eastAsia" w:ascii="宋体" w:hAnsi="宋体"/>
                <w:color w:val="auto"/>
              </w:rPr>
              <w:t>≤30%</w:t>
            </w:r>
          </w:p>
        </w:tc>
      </w:tr>
      <w:tr w14:paraId="0C01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17B589C1">
            <w:pPr>
              <w:ind w:firstLine="480"/>
              <w:jc w:val="center"/>
              <w:rPr>
                <w:rFonts w:ascii="宋体" w:hAnsi="宋体"/>
                <w:color w:val="auto"/>
              </w:rPr>
            </w:pPr>
            <w:r>
              <w:rPr>
                <w:rFonts w:hint="eastAsia" w:ascii="宋体" w:hAnsi="宋体"/>
                <w:color w:val="auto"/>
              </w:rPr>
              <w:t>烧失量</w:t>
            </w:r>
          </w:p>
        </w:tc>
        <w:tc>
          <w:tcPr>
            <w:tcW w:w="4736" w:type="dxa"/>
            <w:vAlign w:val="bottom"/>
          </w:tcPr>
          <w:p w14:paraId="7F122489">
            <w:pPr>
              <w:ind w:firstLine="480"/>
              <w:jc w:val="center"/>
              <w:rPr>
                <w:rFonts w:ascii="宋体" w:hAnsi="宋体"/>
                <w:color w:val="auto"/>
              </w:rPr>
            </w:pPr>
            <w:r>
              <w:rPr>
                <w:rFonts w:hint="eastAsia" w:ascii="宋体" w:hAnsi="宋体"/>
                <w:color w:val="auto"/>
              </w:rPr>
              <w:t>≤5.0%</w:t>
            </w:r>
          </w:p>
        </w:tc>
      </w:tr>
      <w:tr w14:paraId="3F412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1940F581">
            <w:pPr>
              <w:ind w:firstLine="480"/>
              <w:jc w:val="center"/>
              <w:rPr>
                <w:rFonts w:ascii="宋体" w:hAnsi="宋体"/>
                <w:color w:val="auto"/>
              </w:rPr>
            </w:pPr>
            <w:r>
              <w:rPr>
                <w:rFonts w:hint="eastAsia" w:ascii="宋体" w:hAnsi="宋体"/>
                <w:color w:val="auto"/>
              </w:rPr>
              <w:t>比表面积</w:t>
            </w:r>
          </w:p>
        </w:tc>
        <w:tc>
          <w:tcPr>
            <w:tcW w:w="4736" w:type="dxa"/>
            <w:vAlign w:val="bottom"/>
          </w:tcPr>
          <w:p w14:paraId="084166AC">
            <w:pPr>
              <w:ind w:firstLine="480"/>
              <w:jc w:val="center"/>
              <w:rPr>
                <w:rFonts w:ascii="宋体" w:hAnsi="宋体"/>
                <w:color w:val="auto"/>
              </w:rPr>
            </w:pPr>
            <w:r>
              <w:rPr>
                <w:rFonts w:hint="eastAsia" w:ascii="宋体" w:hAnsi="宋体"/>
                <w:color w:val="auto"/>
              </w:rPr>
              <w:t>300~450m²/kg</w:t>
            </w:r>
          </w:p>
        </w:tc>
      </w:tr>
      <w:tr w14:paraId="3AB25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692E671A">
            <w:pPr>
              <w:ind w:firstLine="480"/>
              <w:jc w:val="center"/>
              <w:rPr>
                <w:rFonts w:ascii="宋体" w:hAnsi="宋体"/>
                <w:color w:val="auto"/>
              </w:rPr>
            </w:pPr>
            <w:r>
              <w:rPr>
                <w:rFonts w:hint="eastAsia" w:ascii="宋体" w:hAnsi="宋体"/>
                <w:color w:val="auto"/>
              </w:rPr>
              <w:t>细度（80μm）</w:t>
            </w:r>
          </w:p>
        </w:tc>
        <w:tc>
          <w:tcPr>
            <w:tcW w:w="4736" w:type="dxa"/>
            <w:vAlign w:val="bottom"/>
          </w:tcPr>
          <w:p w14:paraId="2D187BC3">
            <w:pPr>
              <w:ind w:firstLine="480"/>
              <w:jc w:val="center"/>
              <w:rPr>
                <w:rFonts w:ascii="宋体" w:hAnsi="宋体"/>
                <w:color w:val="auto"/>
              </w:rPr>
            </w:pPr>
            <w:r>
              <w:rPr>
                <w:rFonts w:hint="eastAsia" w:ascii="宋体" w:hAnsi="宋体"/>
                <w:color w:val="auto"/>
              </w:rPr>
              <w:t>筛余量不得不宜≤10%</w:t>
            </w:r>
          </w:p>
        </w:tc>
      </w:tr>
      <w:tr w14:paraId="4BA5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4CC2A409">
            <w:pPr>
              <w:ind w:firstLine="480"/>
              <w:jc w:val="center"/>
              <w:rPr>
                <w:rFonts w:ascii="宋体" w:hAnsi="宋体"/>
                <w:color w:val="auto"/>
              </w:rPr>
            </w:pPr>
            <w:r>
              <w:rPr>
                <w:rFonts w:hint="eastAsia" w:ascii="宋体" w:hAnsi="宋体"/>
                <w:color w:val="auto"/>
              </w:rPr>
              <w:t>初凝时间</w:t>
            </w:r>
          </w:p>
        </w:tc>
        <w:tc>
          <w:tcPr>
            <w:tcW w:w="4736" w:type="dxa"/>
            <w:vAlign w:val="bottom"/>
          </w:tcPr>
          <w:p w14:paraId="71A62232">
            <w:pPr>
              <w:ind w:firstLine="480"/>
              <w:jc w:val="center"/>
              <w:rPr>
                <w:rFonts w:ascii="宋体" w:hAnsi="宋体"/>
                <w:color w:val="auto"/>
              </w:rPr>
            </w:pPr>
            <w:r>
              <w:rPr>
                <w:rFonts w:hint="eastAsia" w:ascii="宋体" w:hAnsi="宋体"/>
                <w:color w:val="auto"/>
              </w:rPr>
              <w:t>不早于1.5h</w:t>
            </w:r>
          </w:p>
        </w:tc>
      </w:tr>
      <w:tr w14:paraId="3398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3A682DEC">
            <w:pPr>
              <w:ind w:firstLine="480"/>
              <w:jc w:val="center"/>
              <w:rPr>
                <w:rFonts w:ascii="宋体" w:hAnsi="宋体"/>
                <w:color w:val="auto"/>
              </w:rPr>
            </w:pPr>
            <w:r>
              <w:rPr>
                <w:rFonts w:hint="eastAsia" w:ascii="宋体" w:hAnsi="宋体"/>
                <w:color w:val="auto"/>
              </w:rPr>
              <w:t>终凝时间</w:t>
            </w:r>
          </w:p>
        </w:tc>
        <w:tc>
          <w:tcPr>
            <w:tcW w:w="4736" w:type="dxa"/>
            <w:vAlign w:val="bottom"/>
          </w:tcPr>
          <w:p w14:paraId="52D94EE0">
            <w:pPr>
              <w:ind w:firstLine="480"/>
              <w:jc w:val="center"/>
              <w:rPr>
                <w:rFonts w:ascii="宋体" w:hAnsi="宋体"/>
                <w:color w:val="auto"/>
              </w:rPr>
            </w:pPr>
            <w:r>
              <w:rPr>
                <w:rFonts w:hint="eastAsia" w:ascii="宋体" w:hAnsi="宋体"/>
                <w:color w:val="auto"/>
              </w:rPr>
              <w:t>不迟于10h</w:t>
            </w:r>
          </w:p>
        </w:tc>
      </w:tr>
      <w:tr w14:paraId="502F8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084A9F00">
            <w:pPr>
              <w:ind w:firstLine="480"/>
              <w:jc w:val="center"/>
              <w:rPr>
                <w:rFonts w:ascii="宋体" w:hAnsi="宋体"/>
                <w:color w:val="auto"/>
              </w:rPr>
            </w:pPr>
            <w:r>
              <w:rPr>
                <w:rFonts w:hint="eastAsia" w:ascii="宋体" w:hAnsi="宋体"/>
                <w:color w:val="auto"/>
              </w:rPr>
              <w:t>28d干缩率</w:t>
            </w:r>
          </w:p>
        </w:tc>
        <w:tc>
          <w:tcPr>
            <w:tcW w:w="4736" w:type="dxa"/>
            <w:vAlign w:val="bottom"/>
          </w:tcPr>
          <w:p w14:paraId="314A9468">
            <w:pPr>
              <w:ind w:firstLine="480"/>
              <w:jc w:val="center"/>
              <w:rPr>
                <w:rFonts w:ascii="宋体" w:hAnsi="宋体"/>
                <w:color w:val="auto"/>
              </w:rPr>
            </w:pPr>
            <w:r>
              <w:rPr>
                <w:rFonts w:hint="eastAsia" w:ascii="宋体" w:hAnsi="宋体"/>
                <w:color w:val="auto"/>
              </w:rPr>
              <w:t>≤0.1%</w:t>
            </w:r>
          </w:p>
        </w:tc>
      </w:tr>
      <w:tr w14:paraId="4F674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85" w:type="dxa"/>
            <w:vAlign w:val="bottom"/>
          </w:tcPr>
          <w:p w14:paraId="62F3B325">
            <w:pPr>
              <w:ind w:firstLine="480"/>
              <w:jc w:val="center"/>
              <w:rPr>
                <w:rFonts w:ascii="宋体" w:hAnsi="宋体"/>
                <w:color w:val="auto"/>
              </w:rPr>
            </w:pPr>
            <w:r>
              <w:rPr>
                <w:rFonts w:hint="eastAsia" w:ascii="宋体" w:hAnsi="宋体"/>
                <w:color w:val="auto"/>
              </w:rPr>
              <w:t>耐磨性</w:t>
            </w:r>
          </w:p>
        </w:tc>
        <w:tc>
          <w:tcPr>
            <w:tcW w:w="4736" w:type="dxa"/>
            <w:vAlign w:val="bottom"/>
          </w:tcPr>
          <w:p w14:paraId="29FF7F01">
            <w:pPr>
              <w:ind w:firstLine="480"/>
              <w:jc w:val="center"/>
              <w:rPr>
                <w:rFonts w:ascii="宋体" w:hAnsi="宋体"/>
                <w:color w:val="auto"/>
              </w:rPr>
            </w:pPr>
            <w:r>
              <w:rPr>
                <w:rFonts w:hint="eastAsia" w:ascii="宋体" w:hAnsi="宋体"/>
                <w:color w:val="auto"/>
              </w:rPr>
              <w:t>≤3.6kg/ m²</w:t>
            </w:r>
          </w:p>
        </w:tc>
      </w:tr>
    </w:tbl>
    <w:p w14:paraId="472261FF">
      <w:pPr>
        <w:ind w:firstLine="480"/>
        <w:rPr>
          <w:color w:val="auto"/>
        </w:rPr>
      </w:pPr>
      <w:r>
        <w:rPr>
          <w:rFonts w:hint="eastAsia"/>
          <w:color w:val="auto"/>
        </w:rPr>
        <w:t>此外，所选用的水泥还应通过混凝土配合比试验，根据其配制弯拉强度、耐久性和工作性优选适宜的水泥品种、强度等级。</w:t>
      </w:r>
    </w:p>
    <w:p w14:paraId="15C71BB8">
      <w:pPr>
        <w:ind w:firstLine="480"/>
        <w:rPr>
          <w:color w:val="auto"/>
        </w:rPr>
      </w:pPr>
      <w:r>
        <w:rPr>
          <w:rFonts w:hint="eastAsia"/>
          <w:color w:val="auto"/>
        </w:rPr>
        <w:t>B、粗集料</w:t>
      </w:r>
    </w:p>
    <w:p w14:paraId="1A26233A">
      <w:pPr>
        <w:ind w:firstLine="480"/>
        <w:rPr>
          <w:rFonts w:ascii="宋体" w:hAnsi="宋体"/>
          <w:snapToGrid w:val="0"/>
          <w:color w:val="auto"/>
        </w:rPr>
      </w:pPr>
      <w:r>
        <w:rPr>
          <w:rFonts w:hint="eastAsia"/>
          <w:color w:val="auto"/>
        </w:rPr>
        <w:t>粗集料采用碎石。粗集料应质地坚硬、耐久、洁净。粗集料技术指标应符合</w:t>
      </w:r>
      <w:r>
        <w:rPr>
          <w:rFonts w:hint="eastAsia" w:ascii="宋体" w:hAnsi="宋体"/>
          <w:snapToGrid w:val="0"/>
          <w:color w:val="auto"/>
        </w:rPr>
        <w:t>规定。</w:t>
      </w:r>
    </w:p>
    <w:p w14:paraId="4E530198">
      <w:pPr>
        <w:ind w:firstLine="3932" w:firstLineChars="1632"/>
        <w:rPr>
          <w:rFonts w:ascii="宋体" w:hAnsi="宋体"/>
          <w:snapToGrid w:val="0"/>
          <w:color w:val="auto"/>
        </w:rPr>
      </w:pPr>
      <w:r>
        <w:rPr>
          <w:rFonts w:hint="eastAsia" w:ascii="宋体" w:hAnsi="宋体"/>
          <w:b/>
          <w:snapToGrid w:val="0"/>
          <w:color w:val="auto"/>
        </w:rPr>
        <w:t>碎石技术指标</w:t>
      </w:r>
    </w:p>
    <w:tbl>
      <w:tblPr>
        <w:tblStyle w:val="8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8"/>
        <w:gridCol w:w="4287"/>
      </w:tblGrid>
      <w:tr w14:paraId="43728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7D6C67BC">
            <w:pPr>
              <w:ind w:left="560" w:firstLine="480"/>
              <w:rPr>
                <w:rFonts w:ascii="宋体" w:hAnsi="宋体"/>
                <w:color w:val="auto"/>
                <w:szCs w:val="21"/>
              </w:rPr>
            </w:pPr>
            <w:r>
              <w:rPr>
                <w:rFonts w:hint="eastAsia" w:ascii="宋体" w:hAnsi="宋体"/>
                <w:color w:val="auto"/>
                <w:szCs w:val="21"/>
              </w:rPr>
              <w:t>项   目</w:t>
            </w:r>
          </w:p>
        </w:tc>
        <w:tc>
          <w:tcPr>
            <w:tcW w:w="4287" w:type="dxa"/>
            <w:vAlign w:val="center"/>
          </w:tcPr>
          <w:p w14:paraId="50D1ACF7">
            <w:pPr>
              <w:ind w:firstLine="480"/>
              <w:jc w:val="center"/>
              <w:rPr>
                <w:rFonts w:ascii="宋体" w:hAnsi="宋体"/>
                <w:color w:val="auto"/>
                <w:szCs w:val="21"/>
              </w:rPr>
            </w:pPr>
            <w:r>
              <w:rPr>
                <w:rFonts w:hint="eastAsia" w:ascii="宋体" w:hAnsi="宋体"/>
                <w:color w:val="auto"/>
                <w:szCs w:val="21"/>
              </w:rPr>
              <w:t>技术指标</w:t>
            </w:r>
          </w:p>
        </w:tc>
      </w:tr>
      <w:tr w14:paraId="1E794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341CD889">
            <w:pPr>
              <w:ind w:firstLine="480"/>
              <w:rPr>
                <w:rFonts w:ascii="宋体" w:hAnsi="宋体"/>
                <w:color w:val="auto"/>
                <w:szCs w:val="21"/>
              </w:rPr>
            </w:pPr>
            <w:r>
              <w:rPr>
                <w:rFonts w:hint="eastAsia" w:ascii="宋体" w:hAnsi="宋体"/>
                <w:color w:val="auto"/>
                <w:szCs w:val="21"/>
              </w:rPr>
              <w:t>碎石压碎指标</w:t>
            </w:r>
          </w:p>
        </w:tc>
        <w:tc>
          <w:tcPr>
            <w:tcW w:w="4287" w:type="dxa"/>
            <w:vAlign w:val="center"/>
          </w:tcPr>
          <w:p w14:paraId="03E37456">
            <w:pPr>
              <w:ind w:firstLine="480"/>
              <w:jc w:val="center"/>
              <w:rPr>
                <w:rFonts w:ascii="宋体" w:hAnsi="宋体"/>
                <w:color w:val="auto"/>
                <w:szCs w:val="21"/>
              </w:rPr>
            </w:pPr>
            <w:r>
              <w:rPr>
                <w:rFonts w:hint="eastAsia" w:ascii="宋体" w:hAnsi="宋体"/>
                <w:color w:val="auto"/>
                <w:szCs w:val="21"/>
              </w:rPr>
              <w:t>≤30%</w:t>
            </w:r>
          </w:p>
        </w:tc>
      </w:tr>
      <w:tr w14:paraId="2269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50645B30">
            <w:pPr>
              <w:ind w:firstLine="480"/>
              <w:rPr>
                <w:rFonts w:ascii="宋体" w:hAnsi="宋体"/>
                <w:color w:val="auto"/>
                <w:szCs w:val="21"/>
              </w:rPr>
            </w:pPr>
            <w:r>
              <w:rPr>
                <w:rFonts w:hint="eastAsia" w:ascii="宋体" w:hAnsi="宋体"/>
                <w:color w:val="auto"/>
                <w:szCs w:val="21"/>
              </w:rPr>
              <w:t>坚固度（按质量损失计）</w:t>
            </w:r>
          </w:p>
        </w:tc>
        <w:tc>
          <w:tcPr>
            <w:tcW w:w="4287" w:type="dxa"/>
            <w:vAlign w:val="center"/>
          </w:tcPr>
          <w:p w14:paraId="2C52BFD2">
            <w:pPr>
              <w:ind w:firstLine="480"/>
              <w:jc w:val="center"/>
              <w:rPr>
                <w:rFonts w:ascii="宋体" w:hAnsi="宋体"/>
                <w:color w:val="auto"/>
                <w:szCs w:val="21"/>
              </w:rPr>
            </w:pPr>
            <w:r>
              <w:rPr>
                <w:rFonts w:hint="eastAsia" w:ascii="宋体" w:hAnsi="宋体"/>
                <w:color w:val="auto"/>
                <w:szCs w:val="21"/>
              </w:rPr>
              <w:t>≤12%</w:t>
            </w:r>
          </w:p>
        </w:tc>
      </w:tr>
      <w:tr w14:paraId="19E76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04459B39">
            <w:pPr>
              <w:ind w:firstLine="480"/>
              <w:rPr>
                <w:rFonts w:ascii="宋体" w:hAnsi="宋体"/>
                <w:color w:val="auto"/>
                <w:szCs w:val="21"/>
              </w:rPr>
            </w:pPr>
            <w:r>
              <w:rPr>
                <w:rFonts w:hint="eastAsia" w:ascii="宋体" w:hAnsi="宋体"/>
                <w:color w:val="auto"/>
                <w:szCs w:val="21"/>
              </w:rPr>
              <w:t>针片状颗粒含量（按质量计）</w:t>
            </w:r>
          </w:p>
        </w:tc>
        <w:tc>
          <w:tcPr>
            <w:tcW w:w="4287" w:type="dxa"/>
            <w:vAlign w:val="center"/>
          </w:tcPr>
          <w:p w14:paraId="791FEFB7">
            <w:pPr>
              <w:ind w:firstLine="480"/>
              <w:jc w:val="center"/>
              <w:rPr>
                <w:rFonts w:ascii="宋体" w:hAnsi="宋体"/>
                <w:color w:val="auto"/>
                <w:szCs w:val="21"/>
              </w:rPr>
            </w:pPr>
            <w:r>
              <w:rPr>
                <w:rFonts w:hint="eastAsia" w:ascii="宋体" w:hAnsi="宋体"/>
                <w:color w:val="auto"/>
                <w:szCs w:val="21"/>
              </w:rPr>
              <w:t>≤20%</w:t>
            </w:r>
          </w:p>
        </w:tc>
      </w:tr>
      <w:tr w14:paraId="75ED1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0B95AFA9">
            <w:pPr>
              <w:ind w:firstLine="480"/>
              <w:rPr>
                <w:rFonts w:ascii="宋体" w:hAnsi="宋体"/>
                <w:color w:val="auto"/>
                <w:szCs w:val="21"/>
              </w:rPr>
            </w:pPr>
            <w:r>
              <w:rPr>
                <w:rFonts w:hint="eastAsia" w:ascii="宋体" w:hAnsi="宋体"/>
                <w:color w:val="auto"/>
                <w:szCs w:val="21"/>
              </w:rPr>
              <w:t>含泥量（按质量计）</w:t>
            </w:r>
          </w:p>
        </w:tc>
        <w:tc>
          <w:tcPr>
            <w:tcW w:w="4287" w:type="dxa"/>
            <w:vAlign w:val="center"/>
          </w:tcPr>
          <w:p w14:paraId="0D7BEF9B">
            <w:pPr>
              <w:ind w:firstLine="480"/>
              <w:jc w:val="center"/>
              <w:rPr>
                <w:rFonts w:ascii="宋体" w:hAnsi="宋体"/>
                <w:color w:val="auto"/>
                <w:szCs w:val="21"/>
              </w:rPr>
            </w:pPr>
            <w:r>
              <w:rPr>
                <w:rFonts w:hint="eastAsia" w:ascii="宋体" w:hAnsi="宋体"/>
                <w:color w:val="auto"/>
                <w:szCs w:val="21"/>
              </w:rPr>
              <w:t>≤2.0%</w:t>
            </w:r>
          </w:p>
        </w:tc>
      </w:tr>
      <w:tr w14:paraId="4901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350DDF1E">
            <w:pPr>
              <w:ind w:firstLine="480"/>
              <w:rPr>
                <w:rFonts w:ascii="宋体" w:hAnsi="宋体"/>
                <w:color w:val="auto"/>
                <w:szCs w:val="21"/>
              </w:rPr>
            </w:pPr>
            <w:r>
              <w:rPr>
                <w:rFonts w:hint="eastAsia" w:ascii="宋体" w:hAnsi="宋体"/>
                <w:color w:val="auto"/>
                <w:szCs w:val="21"/>
              </w:rPr>
              <w:t>泥路含量（按质量计）</w:t>
            </w:r>
          </w:p>
        </w:tc>
        <w:tc>
          <w:tcPr>
            <w:tcW w:w="4287" w:type="dxa"/>
            <w:vAlign w:val="center"/>
          </w:tcPr>
          <w:p w14:paraId="081F73E6">
            <w:pPr>
              <w:ind w:firstLine="480"/>
              <w:jc w:val="center"/>
              <w:rPr>
                <w:rFonts w:ascii="宋体" w:hAnsi="宋体"/>
                <w:color w:val="auto"/>
                <w:szCs w:val="21"/>
              </w:rPr>
            </w:pPr>
            <w:r>
              <w:rPr>
                <w:rFonts w:hint="eastAsia" w:ascii="宋体" w:hAnsi="宋体"/>
                <w:color w:val="auto"/>
                <w:szCs w:val="21"/>
              </w:rPr>
              <w:t>≤0.7%</w:t>
            </w:r>
          </w:p>
        </w:tc>
      </w:tr>
      <w:tr w14:paraId="18308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446DB222">
            <w:pPr>
              <w:ind w:firstLine="480"/>
              <w:rPr>
                <w:rFonts w:ascii="宋体" w:hAnsi="宋体"/>
                <w:color w:val="auto"/>
                <w:szCs w:val="21"/>
              </w:rPr>
            </w:pPr>
            <w:r>
              <w:rPr>
                <w:rFonts w:hint="eastAsia" w:ascii="宋体" w:hAnsi="宋体"/>
                <w:color w:val="auto"/>
                <w:szCs w:val="21"/>
              </w:rPr>
              <w:t>吸水率（按质量计）</w:t>
            </w:r>
          </w:p>
        </w:tc>
        <w:tc>
          <w:tcPr>
            <w:tcW w:w="4287" w:type="dxa"/>
            <w:vAlign w:val="center"/>
          </w:tcPr>
          <w:p w14:paraId="26A3071B">
            <w:pPr>
              <w:ind w:firstLine="480"/>
              <w:jc w:val="center"/>
              <w:rPr>
                <w:rFonts w:ascii="宋体" w:hAnsi="宋体"/>
                <w:color w:val="auto"/>
                <w:szCs w:val="21"/>
              </w:rPr>
            </w:pPr>
            <w:r>
              <w:rPr>
                <w:rFonts w:hint="eastAsia" w:ascii="宋体" w:hAnsi="宋体"/>
                <w:color w:val="auto"/>
                <w:szCs w:val="21"/>
              </w:rPr>
              <w:t>≤3.0%</w:t>
            </w:r>
          </w:p>
        </w:tc>
      </w:tr>
      <w:tr w14:paraId="58428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2C4E2759">
            <w:pPr>
              <w:ind w:firstLine="480"/>
              <w:rPr>
                <w:rFonts w:ascii="宋体" w:hAnsi="宋体"/>
                <w:color w:val="auto"/>
                <w:szCs w:val="21"/>
              </w:rPr>
            </w:pPr>
            <w:r>
              <w:rPr>
                <w:rFonts w:hint="eastAsia" w:ascii="宋体" w:hAnsi="宋体"/>
                <w:color w:val="auto"/>
                <w:szCs w:val="21"/>
              </w:rPr>
              <w:t>有机物含量（比色法）</w:t>
            </w:r>
          </w:p>
        </w:tc>
        <w:tc>
          <w:tcPr>
            <w:tcW w:w="4287" w:type="dxa"/>
            <w:vAlign w:val="center"/>
          </w:tcPr>
          <w:p w14:paraId="6A7A63A7">
            <w:pPr>
              <w:ind w:firstLine="480"/>
              <w:jc w:val="center"/>
              <w:rPr>
                <w:rFonts w:ascii="宋体" w:hAnsi="宋体"/>
                <w:color w:val="auto"/>
                <w:szCs w:val="21"/>
              </w:rPr>
            </w:pPr>
            <w:r>
              <w:rPr>
                <w:rFonts w:hint="eastAsia" w:ascii="宋体" w:hAnsi="宋体"/>
                <w:color w:val="auto"/>
                <w:szCs w:val="21"/>
              </w:rPr>
              <w:t>合格</w:t>
            </w:r>
          </w:p>
        </w:tc>
      </w:tr>
      <w:tr w14:paraId="1A76C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59B974FD">
            <w:pPr>
              <w:ind w:firstLine="480"/>
              <w:rPr>
                <w:rFonts w:ascii="宋体" w:hAnsi="宋体"/>
                <w:color w:val="auto"/>
                <w:szCs w:val="21"/>
              </w:rPr>
            </w:pPr>
            <w:r>
              <w:rPr>
                <w:rFonts w:hint="eastAsia" w:ascii="宋体" w:hAnsi="宋体"/>
                <w:color w:val="auto"/>
                <w:szCs w:val="21"/>
              </w:rPr>
              <w:t>硫化物计硫酸盐（按SO3质量计）</w:t>
            </w:r>
          </w:p>
        </w:tc>
        <w:tc>
          <w:tcPr>
            <w:tcW w:w="4287" w:type="dxa"/>
            <w:vAlign w:val="center"/>
          </w:tcPr>
          <w:p w14:paraId="0499ED37">
            <w:pPr>
              <w:ind w:firstLine="480"/>
              <w:jc w:val="center"/>
              <w:rPr>
                <w:rFonts w:ascii="宋体" w:hAnsi="宋体"/>
                <w:color w:val="auto"/>
                <w:szCs w:val="21"/>
              </w:rPr>
            </w:pPr>
            <w:r>
              <w:rPr>
                <w:rFonts w:hint="eastAsia" w:ascii="宋体" w:hAnsi="宋体"/>
                <w:color w:val="auto"/>
                <w:szCs w:val="21"/>
              </w:rPr>
              <w:t>≤1.0%</w:t>
            </w:r>
          </w:p>
        </w:tc>
      </w:tr>
      <w:tr w14:paraId="37936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7E0C6B6D">
            <w:pPr>
              <w:ind w:firstLine="480"/>
              <w:rPr>
                <w:rFonts w:ascii="宋体" w:hAnsi="宋体"/>
                <w:color w:val="auto"/>
                <w:szCs w:val="21"/>
              </w:rPr>
            </w:pPr>
            <w:r>
              <w:rPr>
                <w:rFonts w:hint="eastAsia" w:ascii="宋体" w:hAnsi="宋体"/>
                <w:color w:val="auto"/>
                <w:szCs w:val="21"/>
              </w:rPr>
              <w:t>岩石抗压强度</w:t>
            </w:r>
          </w:p>
        </w:tc>
        <w:tc>
          <w:tcPr>
            <w:tcW w:w="4287" w:type="dxa"/>
            <w:vAlign w:val="center"/>
          </w:tcPr>
          <w:p w14:paraId="7B56AAC1">
            <w:pPr>
              <w:ind w:firstLine="0" w:firstLineChars="0"/>
              <w:rPr>
                <w:rFonts w:ascii="宋体" w:hAnsi="宋体"/>
                <w:color w:val="auto"/>
                <w:szCs w:val="21"/>
              </w:rPr>
            </w:pPr>
            <w:r>
              <w:rPr>
                <w:rFonts w:hint="eastAsia" w:ascii="宋体" w:hAnsi="宋体"/>
                <w:color w:val="auto"/>
                <w:szCs w:val="21"/>
              </w:rPr>
              <w:t>火成岩≥100MPa；变质岩≥80 MPa；水成岩≥60MPa</w:t>
            </w:r>
          </w:p>
        </w:tc>
      </w:tr>
      <w:tr w14:paraId="56BBA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3B8BC540">
            <w:pPr>
              <w:ind w:firstLine="480"/>
              <w:rPr>
                <w:rFonts w:ascii="宋体" w:hAnsi="宋体"/>
                <w:color w:val="auto"/>
                <w:szCs w:val="21"/>
              </w:rPr>
            </w:pPr>
            <w:r>
              <w:rPr>
                <w:rFonts w:hint="eastAsia" w:ascii="宋体" w:hAnsi="宋体"/>
                <w:color w:val="auto"/>
                <w:szCs w:val="21"/>
              </w:rPr>
              <w:t>表观密度</w:t>
            </w:r>
          </w:p>
        </w:tc>
        <w:tc>
          <w:tcPr>
            <w:tcW w:w="4287" w:type="dxa"/>
            <w:vAlign w:val="center"/>
          </w:tcPr>
          <w:p w14:paraId="1BBA0563">
            <w:pPr>
              <w:ind w:firstLine="480"/>
              <w:jc w:val="center"/>
              <w:rPr>
                <w:rFonts w:ascii="宋体" w:hAnsi="宋体"/>
                <w:color w:val="auto"/>
                <w:szCs w:val="21"/>
              </w:rPr>
            </w:pPr>
            <w:r>
              <w:rPr>
                <w:rFonts w:hint="eastAsia" w:ascii="宋体" w:hAnsi="宋体"/>
                <w:color w:val="auto"/>
                <w:szCs w:val="21"/>
              </w:rPr>
              <w:t>≥2500kg/m</w:t>
            </w:r>
            <w:r>
              <w:rPr>
                <w:rFonts w:hint="eastAsia" w:ascii="宋体" w:hAnsi="宋体"/>
                <w:color w:val="auto"/>
                <w:szCs w:val="21"/>
                <w:vertAlign w:val="superscript"/>
              </w:rPr>
              <w:t>3</w:t>
            </w:r>
          </w:p>
        </w:tc>
      </w:tr>
      <w:tr w14:paraId="53D24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3D7F9885">
            <w:pPr>
              <w:ind w:firstLine="480"/>
              <w:rPr>
                <w:rFonts w:ascii="宋体" w:hAnsi="宋体"/>
                <w:color w:val="auto"/>
                <w:szCs w:val="21"/>
              </w:rPr>
            </w:pPr>
            <w:r>
              <w:rPr>
                <w:rFonts w:hint="eastAsia" w:ascii="宋体" w:hAnsi="宋体"/>
                <w:color w:val="auto"/>
                <w:szCs w:val="21"/>
              </w:rPr>
              <w:t>松散堆积密度</w:t>
            </w:r>
          </w:p>
        </w:tc>
        <w:tc>
          <w:tcPr>
            <w:tcW w:w="4287" w:type="dxa"/>
            <w:vAlign w:val="center"/>
          </w:tcPr>
          <w:p w14:paraId="525F87A7">
            <w:pPr>
              <w:ind w:firstLine="480"/>
              <w:jc w:val="center"/>
              <w:rPr>
                <w:rFonts w:ascii="宋体" w:hAnsi="宋体"/>
                <w:color w:val="auto"/>
                <w:szCs w:val="21"/>
              </w:rPr>
            </w:pPr>
            <w:r>
              <w:rPr>
                <w:rFonts w:hint="eastAsia" w:ascii="宋体" w:hAnsi="宋体"/>
                <w:color w:val="auto"/>
                <w:szCs w:val="21"/>
              </w:rPr>
              <w:t>≥1350/m</w:t>
            </w:r>
            <w:r>
              <w:rPr>
                <w:rFonts w:hint="eastAsia" w:ascii="宋体" w:hAnsi="宋体"/>
                <w:color w:val="auto"/>
                <w:szCs w:val="21"/>
                <w:vertAlign w:val="superscript"/>
              </w:rPr>
              <w:t>3</w:t>
            </w:r>
          </w:p>
        </w:tc>
      </w:tr>
      <w:tr w14:paraId="06754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4218" w:type="dxa"/>
            <w:vAlign w:val="center"/>
          </w:tcPr>
          <w:p w14:paraId="261B05D4">
            <w:pPr>
              <w:ind w:firstLine="480"/>
              <w:rPr>
                <w:rFonts w:ascii="宋体" w:hAnsi="宋体"/>
                <w:color w:val="auto"/>
                <w:szCs w:val="21"/>
              </w:rPr>
            </w:pPr>
            <w:r>
              <w:rPr>
                <w:rFonts w:hint="eastAsia" w:ascii="宋体" w:hAnsi="宋体"/>
                <w:color w:val="auto"/>
                <w:szCs w:val="21"/>
              </w:rPr>
              <w:t>空隙率</w:t>
            </w:r>
          </w:p>
        </w:tc>
        <w:tc>
          <w:tcPr>
            <w:tcW w:w="4287" w:type="dxa"/>
            <w:vAlign w:val="center"/>
          </w:tcPr>
          <w:p w14:paraId="295A3853">
            <w:pPr>
              <w:ind w:firstLine="480"/>
              <w:jc w:val="center"/>
              <w:rPr>
                <w:rFonts w:ascii="宋体" w:hAnsi="宋体"/>
                <w:color w:val="auto"/>
                <w:szCs w:val="21"/>
              </w:rPr>
            </w:pPr>
            <w:r>
              <w:rPr>
                <w:rFonts w:hint="eastAsia" w:ascii="宋体" w:hAnsi="宋体"/>
                <w:color w:val="auto"/>
                <w:szCs w:val="21"/>
              </w:rPr>
              <w:t>≤47%</w:t>
            </w:r>
          </w:p>
        </w:tc>
      </w:tr>
      <w:tr w14:paraId="5BDCA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30EB1FB0">
            <w:pPr>
              <w:ind w:firstLine="480"/>
              <w:rPr>
                <w:rFonts w:ascii="宋体" w:hAnsi="宋体"/>
                <w:color w:val="auto"/>
                <w:szCs w:val="21"/>
              </w:rPr>
            </w:pPr>
            <w:r>
              <w:rPr>
                <w:rFonts w:hint="eastAsia" w:ascii="宋体" w:hAnsi="宋体"/>
                <w:color w:val="auto"/>
                <w:szCs w:val="21"/>
              </w:rPr>
              <w:t>磨光值</w:t>
            </w:r>
          </w:p>
        </w:tc>
        <w:tc>
          <w:tcPr>
            <w:tcW w:w="4287" w:type="dxa"/>
            <w:vAlign w:val="center"/>
          </w:tcPr>
          <w:p w14:paraId="47874706">
            <w:pPr>
              <w:ind w:firstLine="504" w:firstLineChars="210"/>
              <w:jc w:val="center"/>
              <w:rPr>
                <w:rFonts w:ascii="宋体" w:hAnsi="宋体"/>
                <w:color w:val="auto"/>
                <w:szCs w:val="21"/>
              </w:rPr>
            </w:pPr>
            <w:r>
              <w:rPr>
                <w:rFonts w:hint="eastAsia" w:ascii="宋体" w:hAnsi="宋体"/>
                <w:color w:val="auto"/>
                <w:szCs w:val="21"/>
              </w:rPr>
              <w:t>≥35%</w:t>
            </w:r>
          </w:p>
        </w:tc>
      </w:tr>
      <w:tr w14:paraId="694F6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218" w:type="dxa"/>
            <w:vAlign w:val="center"/>
          </w:tcPr>
          <w:p w14:paraId="0DF441E7">
            <w:pPr>
              <w:ind w:firstLine="480"/>
              <w:rPr>
                <w:rFonts w:ascii="宋体" w:hAnsi="宋体"/>
                <w:color w:val="auto"/>
                <w:szCs w:val="21"/>
              </w:rPr>
            </w:pPr>
            <w:r>
              <w:rPr>
                <w:rFonts w:hint="eastAsia" w:ascii="宋体" w:hAnsi="宋体"/>
                <w:color w:val="auto"/>
                <w:szCs w:val="21"/>
              </w:rPr>
              <w:t>碱集料反应</w:t>
            </w:r>
          </w:p>
        </w:tc>
        <w:tc>
          <w:tcPr>
            <w:tcW w:w="4287" w:type="dxa"/>
            <w:vAlign w:val="center"/>
          </w:tcPr>
          <w:p w14:paraId="237B13B1">
            <w:pPr>
              <w:ind w:firstLine="0" w:firstLineChars="0"/>
              <w:rPr>
                <w:rFonts w:ascii="宋体" w:hAnsi="宋体"/>
                <w:color w:val="auto"/>
                <w:szCs w:val="21"/>
              </w:rPr>
            </w:pPr>
            <w:r>
              <w:rPr>
                <w:rFonts w:hint="eastAsia" w:ascii="宋体" w:hAnsi="宋体"/>
                <w:color w:val="auto"/>
                <w:szCs w:val="21"/>
              </w:rPr>
              <w:t>不得有碱活性反应或疑似碱活性反应</w:t>
            </w:r>
          </w:p>
        </w:tc>
      </w:tr>
    </w:tbl>
    <w:p w14:paraId="342A954B">
      <w:pPr>
        <w:ind w:firstLine="480"/>
        <w:rPr>
          <w:color w:val="auto"/>
        </w:rPr>
      </w:pPr>
      <w:r>
        <w:rPr>
          <w:rFonts w:hint="eastAsia"/>
          <w:color w:val="auto"/>
        </w:rPr>
        <w:t>粗集料应使用质地坚硬、耐久、洁净的碎石。用做路面和桥面的粗集料不得使用不分级的统料，应按最大公称粒径的不同采用2～4个粒级的集料进行掺配，并应符合下表粗集料级配范围的要求。碎石最大公称粒径不宜大于31.5mm。</w:t>
      </w:r>
    </w:p>
    <w:p w14:paraId="2866DFC4">
      <w:pPr>
        <w:spacing w:before="80"/>
        <w:ind w:firstLine="482"/>
        <w:jc w:val="center"/>
        <w:rPr>
          <w:b/>
          <w:color w:val="auto"/>
          <w:szCs w:val="21"/>
        </w:rPr>
      </w:pPr>
      <w:r>
        <w:rPr>
          <w:rFonts w:hint="eastAsia"/>
          <w:b/>
          <w:color w:val="auto"/>
          <w:szCs w:val="21"/>
        </w:rPr>
        <w:t>水泥砼路面粗集料级配范围</w:t>
      </w:r>
    </w:p>
    <w:tbl>
      <w:tblPr>
        <w:tblStyle w:val="88"/>
        <w:tblW w:w="4841" w:type="pct"/>
        <w:tblInd w:w="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230"/>
        <w:gridCol w:w="947"/>
        <w:gridCol w:w="1007"/>
        <w:gridCol w:w="27"/>
        <w:gridCol w:w="1038"/>
        <w:gridCol w:w="45"/>
        <w:gridCol w:w="1021"/>
        <w:gridCol w:w="21"/>
        <w:gridCol w:w="1046"/>
        <w:gridCol w:w="16"/>
        <w:gridCol w:w="984"/>
        <w:gridCol w:w="68"/>
        <w:gridCol w:w="711"/>
        <w:gridCol w:w="25"/>
        <w:gridCol w:w="582"/>
      </w:tblGrid>
      <w:tr w14:paraId="2C265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2" w:hRule="atLeast"/>
        </w:trPr>
        <w:tc>
          <w:tcPr>
            <w:tcW w:w="508" w:type="pct"/>
            <w:vMerge w:val="restart"/>
            <w:vAlign w:val="center"/>
          </w:tcPr>
          <w:p w14:paraId="33280038">
            <w:pPr>
              <w:spacing w:line="240" w:lineRule="auto"/>
              <w:ind w:firstLine="0" w:firstLineChars="0"/>
              <w:jc w:val="center"/>
              <w:rPr>
                <w:color w:val="auto"/>
                <w:sz w:val="21"/>
                <w:szCs w:val="21"/>
              </w:rPr>
            </w:pPr>
          </w:p>
          <w:p w14:paraId="216DEF9D">
            <w:pPr>
              <w:spacing w:line="240" w:lineRule="auto"/>
              <w:ind w:firstLine="0" w:firstLineChars="0"/>
              <w:jc w:val="center"/>
              <w:rPr>
                <w:color w:val="auto"/>
                <w:sz w:val="21"/>
                <w:szCs w:val="21"/>
              </w:rPr>
            </w:pPr>
            <w:r>
              <w:rPr>
                <w:rFonts w:hint="eastAsia"/>
                <w:color w:val="auto"/>
                <w:sz w:val="21"/>
                <w:szCs w:val="21"/>
              </w:rPr>
              <w:t>类 型</w:t>
            </w:r>
          </w:p>
        </w:tc>
        <w:tc>
          <w:tcPr>
            <w:tcW w:w="630" w:type="pct"/>
            <w:vMerge w:val="restart"/>
            <w:vAlign w:val="center"/>
          </w:tcPr>
          <w:p w14:paraId="268F79D0">
            <w:pPr>
              <w:spacing w:line="240" w:lineRule="auto"/>
              <w:ind w:firstLine="420"/>
              <w:jc w:val="center"/>
              <w:rPr>
                <w:color w:val="auto"/>
                <w:sz w:val="21"/>
                <w:szCs w:val="21"/>
              </w:rPr>
            </w:pPr>
          </w:p>
          <w:p w14:paraId="3CB18F09">
            <w:pPr>
              <w:spacing w:line="240" w:lineRule="auto"/>
              <w:ind w:firstLine="0" w:firstLineChars="0"/>
              <w:jc w:val="center"/>
              <w:rPr>
                <w:color w:val="auto"/>
                <w:sz w:val="21"/>
                <w:szCs w:val="21"/>
              </w:rPr>
            </w:pPr>
            <w:r>
              <w:rPr>
                <w:rFonts w:hint="eastAsia"/>
                <w:color w:val="auto"/>
                <w:sz w:val="21"/>
                <w:szCs w:val="21"/>
              </w:rPr>
              <w:t>级 配</w:t>
            </w:r>
          </w:p>
        </w:tc>
        <w:tc>
          <w:tcPr>
            <w:tcW w:w="3862" w:type="pct"/>
            <w:gridSpan w:val="14"/>
            <w:vAlign w:val="center"/>
          </w:tcPr>
          <w:p w14:paraId="5FD6E6FB">
            <w:pPr>
              <w:spacing w:line="240" w:lineRule="auto"/>
              <w:ind w:firstLine="420"/>
              <w:jc w:val="center"/>
              <w:rPr>
                <w:color w:val="auto"/>
                <w:sz w:val="21"/>
                <w:szCs w:val="21"/>
              </w:rPr>
            </w:pPr>
            <w:r>
              <w:rPr>
                <w:rFonts w:hint="eastAsia"/>
                <w:color w:val="auto"/>
                <w:sz w:val="21"/>
                <w:szCs w:val="21"/>
              </w:rPr>
              <w:t>方筛孔尺寸（mm）</w:t>
            </w:r>
          </w:p>
        </w:tc>
      </w:tr>
      <w:tr w14:paraId="779CC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508" w:type="pct"/>
            <w:vMerge w:val="continue"/>
            <w:vAlign w:val="center"/>
          </w:tcPr>
          <w:p w14:paraId="0164A436">
            <w:pPr>
              <w:spacing w:line="240" w:lineRule="auto"/>
              <w:ind w:firstLine="0" w:firstLineChars="0"/>
              <w:jc w:val="center"/>
              <w:rPr>
                <w:color w:val="auto"/>
                <w:sz w:val="21"/>
                <w:szCs w:val="21"/>
              </w:rPr>
            </w:pPr>
          </w:p>
        </w:tc>
        <w:tc>
          <w:tcPr>
            <w:tcW w:w="630" w:type="pct"/>
            <w:vMerge w:val="continue"/>
            <w:vAlign w:val="center"/>
          </w:tcPr>
          <w:p w14:paraId="6A942474">
            <w:pPr>
              <w:spacing w:line="240" w:lineRule="auto"/>
              <w:ind w:firstLine="0" w:firstLineChars="0"/>
              <w:jc w:val="center"/>
              <w:rPr>
                <w:color w:val="auto"/>
                <w:sz w:val="21"/>
                <w:szCs w:val="21"/>
              </w:rPr>
            </w:pPr>
          </w:p>
        </w:tc>
        <w:tc>
          <w:tcPr>
            <w:tcW w:w="485" w:type="pct"/>
            <w:vAlign w:val="center"/>
          </w:tcPr>
          <w:p w14:paraId="5DDB9322">
            <w:pPr>
              <w:spacing w:line="240" w:lineRule="auto"/>
              <w:ind w:firstLine="0" w:firstLineChars="0"/>
              <w:jc w:val="center"/>
              <w:rPr>
                <w:color w:val="auto"/>
                <w:sz w:val="21"/>
                <w:szCs w:val="21"/>
              </w:rPr>
            </w:pPr>
            <w:r>
              <w:rPr>
                <w:rFonts w:hint="eastAsia"/>
                <w:color w:val="auto"/>
                <w:sz w:val="21"/>
                <w:szCs w:val="21"/>
              </w:rPr>
              <w:t>2.36</w:t>
            </w:r>
          </w:p>
        </w:tc>
        <w:tc>
          <w:tcPr>
            <w:tcW w:w="516" w:type="pct"/>
            <w:vAlign w:val="center"/>
          </w:tcPr>
          <w:p w14:paraId="2309A816">
            <w:pPr>
              <w:spacing w:line="240" w:lineRule="auto"/>
              <w:ind w:firstLine="0" w:firstLineChars="0"/>
              <w:jc w:val="center"/>
              <w:rPr>
                <w:color w:val="auto"/>
                <w:sz w:val="21"/>
                <w:szCs w:val="21"/>
              </w:rPr>
            </w:pPr>
            <w:r>
              <w:rPr>
                <w:rFonts w:hint="eastAsia"/>
                <w:color w:val="auto"/>
                <w:sz w:val="21"/>
                <w:szCs w:val="21"/>
              </w:rPr>
              <w:t>4.75</w:t>
            </w:r>
          </w:p>
        </w:tc>
        <w:tc>
          <w:tcPr>
            <w:tcW w:w="546" w:type="pct"/>
            <w:gridSpan w:val="2"/>
            <w:vAlign w:val="center"/>
          </w:tcPr>
          <w:p w14:paraId="6E82439D">
            <w:pPr>
              <w:spacing w:line="240" w:lineRule="auto"/>
              <w:ind w:firstLine="0" w:firstLineChars="0"/>
              <w:jc w:val="center"/>
              <w:rPr>
                <w:color w:val="auto"/>
                <w:sz w:val="21"/>
                <w:szCs w:val="21"/>
              </w:rPr>
            </w:pPr>
            <w:r>
              <w:rPr>
                <w:rFonts w:hint="eastAsia"/>
                <w:color w:val="auto"/>
                <w:sz w:val="21"/>
                <w:szCs w:val="21"/>
              </w:rPr>
              <w:t>9.50</w:t>
            </w:r>
          </w:p>
        </w:tc>
        <w:tc>
          <w:tcPr>
            <w:tcW w:w="546" w:type="pct"/>
            <w:gridSpan w:val="2"/>
            <w:vAlign w:val="center"/>
          </w:tcPr>
          <w:p w14:paraId="01F72190">
            <w:pPr>
              <w:spacing w:line="240" w:lineRule="auto"/>
              <w:ind w:firstLine="0" w:firstLineChars="0"/>
              <w:jc w:val="center"/>
              <w:rPr>
                <w:color w:val="auto"/>
                <w:sz w:val="21"/>
                <w:szCs w:val="21"/>
              </w:rPr>
            </w:pPr>
            <w:r>
              <w:rPr>
                <w:rFonts w:hint="eastAsia"/>
                <w:color w:val="auto"/>
                <w:sz w:val="21"/>
                <w:szCs w:val="21"/>
              </w:rPr>
              <w:t>16.0</w:t>
            </w:r>
          </w:p>
        </w:tc>
        <w:tc>
          <w:tcPr>
            <w:tcW w:w="547" w:type="pct"/>
            <w:gridSpan w:val="2"/>
            <w:vAlign w:val="center"/>
          </w:tcPr>
          <w:p w14:paraId="13605B48">
            <w:pPr>
              <w:spacing w:line="240" w:lineRule="auto"/>
              <w:ind w:firstLine="0" w:firstLineChars="0"/>
              <w:jc w:val="center"/>
              <w:rPr>
                <w:color w:val="auto"/>
                <w:sz w:val="21"/>
                <w:szCs w:val="21"/>
              </w:rPr>
            </w:pPr>
            <w:r>
              <w:rPr>
                <w:rFonts w:hint="eastAsia"/>
                <w:color w:val="auto"/>
                <w:sz w:val="21"/>
                <w:szCs w:val="21"/>
              </w:rPr>
              <w:t>19.0</w:t>
            </w:r>
          </w:p>
        </w:tc>
        <w:tc>
          <w:tcPr>
            <w:tcW w:w="547" w:type="pct"/>
            <w:gridSpan w:val="3"/>
            <w:vAlign w:val="center"/>
          </w:tcPr>
          <w:p w14:paraId="52E6E393">
            <w:pPr>
              <w:spacing w:line="240" w:lineRule="auto"/>
              <w:ind w:firstLine="0" w:firstLineChars="0"/>
              <w:jc w:val="center"/>
              <w:rPr>
                <w:color w:val="auto"/>
                <w:sz w:val="21"/>
                <w:szCs w:val="21"/>
              </w:rPr>
            </w:pPr>
            <w:r>
              <w:rPr>
                <w:rFonts w:hint="eastAsia"/>
                <w:color w:val="auto"/>
                <w:sz w:val="21"/>
                <w:szCs w:val="21"/>
              </w:rPr>
              <w:t>26.5</w:t>
            </w:r>
          </w:p>
        </w:tc>
        <w:tc>
          <w:tcPr>
            <w:tcW w:w="364" w:type="pct"/>
            <w:vAlign w:val="center"/>
          </w:tcPr>
          <w:p w14:paraId="507DD35D">
            <w:pPr>
              <w:spacing w:line="240" w:lineRule="auto"/>
              <w:ind w:firstLine="0" w:firstLineChars="0"/>
              <w:jc w:val="center"/>
              <w:rPr>
                <w:color w:val="auto"/>
                <w:sz w:val="21"/>
                <w:szCs w:val="21"/>
              </w:rPr>
            </w:pPr>
            <w:r>
              <w:rPr>
                <w:rFonts w:hint="eastAsia"/>
                <w:color w:val="auto"/>
                <w:sz w:val="21"/>
                <w:szCs w:val="21"/>
              </w:rPr>
              <w:t>31.5</w:t>
            </w:r>
          </w:p>
        </w:tc>
        <w:tc>
          <w:tcPr>
            <w:tcW w:w="312" w:type="pct"/>
            <w:gridSpan w:val="2"/>
            <w:vAlign w:val="center"/>
          </w:tcPr>
          <w:p w14:paraId="39F6DB79">
            <w:pPr>
              <w:spacing w:line="240" w:lineRule="auto"/>
              <w:ind w:firstLine="0" w:firstLineChars="0"/>
              <w:jc w:val="center"/>
              <w:rPr>
                <w:color w:val="auto"/>
                <w:sz w:val="21"/>
                <w:szCs w:val="21"/>
              </w:rPr>
            </w:pPr>
            <w:r>
              <w:rPr>
                <w:rFonts w:hint="eastAsia"/>
                <w:color w:val="auto"/>
                <w:sz w:val="21"/>
                <w:szCs w:val="21"/>
              </w:rPr>
              <w:t>37.5</w:t>
            </w:r>
          </w:p>
        </w:tc>
      </w:tr>
      <w:tr w14:paraId="1923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9" w:hRule="atLeast"/>
        </w:trPr>
        <w:tc>
          <w:tcPr>
            <w:tcW w:w="508" w:type="pct"/>
            <w:vMerge w:val="continue"/>
            <w:vAlign w:val="center"/>
          </w:tcPr>
          <w:p w14:paraId="2D745CDA">
            <w:pPr>
              <w:spacing w:line="240" w:lineRule="auto"/>
              <w:ind w:firstLine="0" w:firstLineChars="0"/>
              <w:jc w:val="center"/>
              <w:rPr>
                <w:color w:val="auto"/>
                <w:sz w:val="21"/>
                <w:szCs w:val="21"/>
              </w:rPr>
            </w:pPr>
          </w:p>
        </w:tc>
        <w:tc>
          <w:tcPr>
            <w:tcW w:w="630" w:type="pct"/>
            <w:vMerge w:val="continue"/>
            <w:vAlign w:val="center"/>
          </w:tcPr>
          <w:p w14:paraId="7DF43705">
            <w:pPr>
              <w:spacing w:line="240" w:lineRule="auto"/>
              <w:ind w:firstLine="0" w:firstLineChars="0"/>
              <w:jc w:val="center"/>
              <w:rPr>
                <w:color w:val="auto"/>
                <w:sz w:val="21"/>
                <w:szCs w:val="21"/>
              </w:rPr>
            </w:pPr>
          </w:p>
        </w:tc>
        <w:tc>
          <w:tcPr>
            <w:tcW w:w="3862" w:type="pct"/>
            <w:gridSpan w:val="14"/>
            <w:vAlign w:val="center"/>
          </w:tcPr>
          <w:p w14:paraId="37F19F05">
            <w:pPr>
              <w:spacing w:line="240" w:lineRule="auto"/>
              <w:ind w:firstLine="0" w:firstLineChars="0"/>
              <w:jc w:val="center"/>
              <w:rPr>
                <w:color w:val="auto"/>
                <w:sz w:val="21"/>
                <w:szCs w:val="21"/>
              </w:rPr>
            </w:pPr>
            <w:r>
              <w:rPr>
                <w:rFonts w:hint="eastAsia"/>
                <w:color w:val="auto"/>
                <w:sz w:val="21"/>
                <w:szCs w:val="21"/>
              </w:rPr>
              <w:t>累计筛余（以质量计）（％）</w:t>
            </w:r>
          </w:p>
        </w:tc>
      </w:tr>
      <w:tr w14:paraId="1037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508" w:type="pct"/>
            <w:vMerge w:val="restart"/>
            <w:vAlign w:val="center"/>
          </w:tcPr>
          <w:p w14:paraId="24D58814">
            <w:pPr>
              <w:spacing w:line="240" w:lineRule="auto"/>
              <w:ind w:firstLine="0" w:firstLineChars="0"/>
              <w:jc w:val="center"/>
              <w:rPr>
                <w:color w:val="auto"/>
                <w:sz w:val="21"/>
                <w:szCs w:val="21"/>
              </w:rPr>
            </w:pPr>
            <w:r>
              <w:rPr>
                <w:rFonts w:hint="eastAsia"/>
                <w:color w:val="auto"/>
                <w:sz w:val="21"/>
                <w:szCs w:val="21"/>
              </w:rPr>
              <w:t>合</w:t>
            </w:r>
          </w:p>
          <w:p w14:paraId="51099D22">
            <w:pPr>
              <w:spacing w:line="240" w:lineRule="auto"/>
              <w:ind w:firstLine="0" w:firstLineChars="0"/>
              <w:jc w:val="center"/>
              <w:rPr>
                <w:color w:val="auto"/>
                <w:sz w:val="21"/>
                <w:szCs w:val="21"/>
              </w:rPr>
            </w:pPr>
            <w:r>
              <w:rPr>
                <w:rFonts w:hint="eastAsia"/>
                <w:color w:val="auto"/>
                <w:sz w:val="21"/>
                <w:szCs w:val="21"/>
              </w:rPr>
              <w:t>成</w:t>
            </w:r>
          </w:p>
          <w:p w14:paraId="0771764B">
            <w:pPr>
              <w:spacing w:line="240" w:lineRule="auto"/>
              <w:ind w:firstLine="0" w:firstLineChars="0"/>
              <w:jc w:val="center"/>
              <w:rPr>
                <w:color w:val="auto"/>
                <w:sz w:val="21"/>
                <w:szCs w:val="21"/>
              </w:rPr>
            </w:pPr>
            <w:r>
              <w:rPr>
                <w:rFonts w:hint="eastAsia"/>
                <w:color w:val="auto"/>
                <w:sz w:val="21"/>
                <w:szCs w:val="21"/>
              </w:rPr>
              <w:t>级</w:t>
            </w:r>
          </w:p>
          <w:p w14:paraId="21B418CA">
            <w:pPr>
              <w:spacing w:line="240" w:lineRule="auto"/>
              <w:ind w:firstLine="0" w:firstLineChars="0"/>
              <w:jc w:val="center"/>
              <w:rPr>
                <w:color w:val="auto"/>
                <w:sz w:val="21"/>
                <w:szCs w:val="21"/>
              </w:rPr>
            </w:pPr>
            <w:r>
              <w:rPr>
                <w:rFonts w:hint="eastAsia"/>
                <w:color w:val="auto"/>
                <w:sz w:val="21"/>
                <w:szCs w:val="21"/>
              </w:rPr>
              <w:t>配</w:t>
            </w:r>
          </w:p>
        </w:tc>
        <w:tc>
          <w:tcPr>
            <w:tcW w:w="630" w:type="pct"/>
            <w:vAlign w:val="center"/>
          </w:tcPr>
          <w:p w14:paraId="5C14ED32">
            <w:pPr>
              <w:spacing w:line="240" w:lineRule="auto"/>
              <w:ind w:firstLine="0" w:firstLineChars="0"/>
              <w:jc w:val="center"/>
              <w:rPr>
                <w:color w:val="auto"/>
                <w:sz w:val="21"/>
                <w:szCs w:val="21"/>
              </w:rPr>
            </w:pPr>
            <w:r>
              <w:rPr>
                <w:rFonts w:hint="eastAsia"/>
                <w:color w:val="auto"/>
                <w:sz w:val="21"/>
                <w:szCs w:val="21"/>
              </w:rPr>
              <w:t>4.75～16</w:t>
            </w:r>
          </w:p>
        </w:tc>
        <w:tc>
          <w:tcPr>
            <w:tcW w:w="485" w:type="pct"/>
            <w:vAlign w:val="center"/>
          </w:tcPr>
          <w:p w14:paraId="087E531C">
            <w:pPr>
              <w:spacing w:line="240" w:lineRule="auto"/>
              <w:ind w:firstLine="0" w:firstLineChars="0"/>
              <w:jc w:val="center"/>
              <w:rPr>
                <w:color w:val="auto"/>
                <w:sz w:val="21"/>
                <w:szCs w:val="21"/>
              </w:rPr>
            </w:pPr>
            <w:r>
              <w:rPr>
                <w:rFonts w:hint="eastAsia"/>
                <w:color w:val="auto"/>
                <w:sz w:val="21"/>
                <w:szCs w:val="21"/>
              </w:rPr>
              <w:t>95～100</w:t>
            </w:r>
          </w:p>
        </w:tc>
        <w:tc>
          <w:tcPr>
            <w:tcW w:w="530" w:type="pct"/>
            <w:gridSpan w:val="2"/>
            <w:vAlign w:val="center"/>
          </w:tcPr>
          <w:p w14:paraId="544DEB4C">
            <w:pPr>
              <w:spacing w:line="240" w:lineRule="auto"/>
              <w:ind w:firstLine="0" w:firstLineChars="0"/>
              <w:jc w:val="center"/>
              <w:rPr>
                <w:color w:val="auto"/>
                <w:sz w:val="21"/>
                <w:szCs w:val="21"/>
              </w:rPr>
            </w:pPr>
            <w:r>
              <w:rPr>
                <w:rFonts w:hint="eastAsia"/>
                <w:color w:val="auto"/>
                <w:sz w:val="21"/>
                <w:szCs w:val="21"/>
              </w:rPr>
              <w:t>85～100</w:t>
            </w:r>
          </w:p>
        </w:tc>
        <w:tc>
          <w:tcPr>
            <w:tcW w:w="555" w:type="pct"/>
            <w:gridSpan w:val="2"/>
            <w:vAlign w:val="center"/>
          </w:tcPr>
          <w:p w14:paraId="1EF1EA69">
            <w:pPr>
              <w:spacing w:line="240" w:lineRule="auto"/>
              <w:ind w:firstLine="0" w:firstLineChars="0"/>
              <w:jc w:val="center"/>
              <w:rPr>
                <w:color w:val="auto"/>
                <w:sz w:val="21"/>
                <w:szCs w:val="21"/>
              </w:rPr>
            </w:pPr>
            <w:r>
              <w:rPr>
                <w:rFonts w:hint="eastAsia"/>
                <w:color w:val="auto"/>
                <w:sz w:val="21"/>
                <w:szCs w:val="21"/>
              </w:rPr>
              <w:t>40～60</w:t>
            </w:r>
          </w:p>
        </w:tc>
        <w:tc>
          <w:tcPr>
            <w:tcW w:w="534" w:type="pct"/>
            <w:gridSpan w:val="2"/>
            <w:vAlign w:val="center"/>
          </w:tcPr>
          <w:p w14:paraId="3E4685A9">
            <w:pPr>
              <w:spacing w:line="240" w:lineRule="auto"/>
              <w:ind w:firstLine="0" w:firstLineChars="0"/>
              <w:jc w:val="center"/>
              <w:rPr>
                <w:color w:val="auto"/>
                <w:sz w:val="21"/>
                <w:szCs w:val="21"/>
              </w:rPr>
            </w:pPr>
            <w:r>
              <w:rPr>
                <w:rFonts w:hint="eastAsia"/>
                <w:color w:val="auto"/>
                <w:sz w:val="21"/>
                <w:szCs w:val="21"/>
              </w:rPr>
              <w:t>0～10</w:t>
            </w:r>
          </w:p>
        </w:tc>
        <w:tc>
          <w:tcPr>
            <w:tcW w:w="544" w:type="pct"/>
            <w:gridSpan w:val="2"/>
            <w:vAlign w:val="center"/>
          </w:tcPr>
          <w:p w14:paraId="0BD0101E">
            <w:pPr>
              <w:spacing w:line="240" w:lineRule="auto"/>
              <w:ind w:firstLine="0" w:firstLineChars="0"/>
              <w:jc w:val="center"/>
              <w:rPr>
                <w:color w:val="auto"/>
                <w:sz w:val="21"/>
                <w:szCs w:val="21"/>
              </w:rPr>
            </w:pPr>
          </w:p>
        </w:tc>
        <w:tc>
          <w:tcPr>
            <w:tcW w:w="504" w:type="pct"/>
            <w:vAlign w:val="center"/>
          </w:tcPr>
          <w:p w14:paraId="2BE0B339">
            <w:pPr>
              <w:spacing w:line="240" w:lineRule="auto"/>
              <w:ind w:firstLine="0" w:firstLineChars="0"/>
              <w:jc w:val="center"/>
              <w:rPr>
                <w:color w:val="auto"/>
                <w:sz w:val="21"/>
                <w:szCs w:val="21"/>
              </w:rPr>
            </w:pPr>
          </w:p>
        </w:tc>
        <w:tc>
          <w:tcPr>
            <w:tcW w:w="412" w:type="pct"/>
            <w:gridSpan w:val="3"/>
            <w:vAlign w:val="center"/>
          </w:tcPr>
          <w:p w14:paraId="625183EF">
            <w:pPr>
              <w:spacing w:line="240" w:lineRule="auto"/>
              <w:ind w:firstLine="0" w:firstLineChars="0"/>
              <w:jc w:val="center"/>
              <w:rPr>
                <w:color w:val="auto"/>
                <w:sz w:val="21"/>
                <w:szCs w:val="21"/>
              </w:rPr>
            </w:pPr>
          </w:p>
        </w:tc>
        <w:tc>
          <w:tcPr>
            <w:tcW w:w="299" w:type="pct"/>
            <w:vAlign w:val="center"/>
          </w:tcPr>
          <w:p w14:paraId="6B67BE69">
            <w:pPr>
              <w:spacing w:line="240" w:lineRule="auto"/>
              <w:ind w:firstLine="0" w:firstLineChars="0"/>
              <w:jc w:val="center"/>
              <w:rPr>
                <w:color w:val="auto"/>
                <w:sz w:val="21"/>
                <w:szCs w:val="21"/>
              </w:rPr>
            </w:pPr>
          </w:p>
        </w:tc>
      </w:tr>
      <w:tr w14:paraId="3B5A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508" w:type="pct"/>
            <w:vMerge w:val="continue"/>
            <w:vAlign w:val="center"/>
          </w:tcPr>
          <w:p w14:paraId="72F4AAAE">
            <w:pPr>
              <w:spacing w:line="240" w:lineRule="auto"/>
              <w:ind w:firstLine="0" w:firstLineChars="0"/>
              <w:jc w:val="center"/>
              <w:rPr>
                <w:color w:val="auto"/>
                <w:sz w:val="21"/>
                <w:szCs w:val="21"/>
              </w:rPr>
            </w:pPr>
          </w:p>
        </w:tc>
        <w:tc>
          <w:tcPr>
            <w:tcW w:w="630" w:type="pct"/>
            <w:vAlign w:val="center"/>
          </w:tcPr>
          <w:p w14:paraId="43C53342">
            <w:pPr>
              <w:spacing w:line="240" w:lineRule="auto"/>
              <w:ind w:firstLine="0" w:firstLineChars="0"/>
              <w:jc w:val="center"/>
              <w:rPr>
                <w:color w:val="auto"/>
                <w:sz w:val="21"/>
                <w:szCs w:val="21"/>
              </w:rPr>
            </w:pPr>
            <w:r>
              <w:rPr>
                <w:rFonts w:hint="eastAsia"/>
                <w:color w:val="auto"/>
                <w:sz w:val="21"/>
                <w:szCs w:val="21"/>
              </w:rPr>
              <w:t>4.75～19</w:t>
            </w:r>
          </w:p>
        </w:tc>
        <w:tc>
          <w:tcPr>
            <w:tcW w:w="485" w:type="pct"/>
            <w:vAlign w:val="center"/>
          </w:tcPr>
          <w:p w14:paraId="6E177D94">
            <w:pPr>
              <w:spacing w:line="240" w:lineRule="auto"/>
              <w:ind w:firstLine="0" w:firstLineChars="0"/>
              <w:jc w:val="center"/>
              <w:rPr>
                <w:color w:val="auto"/>
                <w:sz w:val="21"/>
                <w:szCs w:val="21"/>
              </w:rPr>
            </w:pPr>
            <w:r>
              <w:rPr>
                <w:rFonts w:hint="eastAsia"/>
                <w:color w:val="auto"/>
                <w:sz w:val="21"/>
                <w:szCs w:val="21"/>
              </w:rPr>
              <w:t>95～100</w:t>
            </w:r>
          </w:p>
        </w:tc>
        <w:tc>
          <w:tcPr>
            <w:tcW w:w="530" w:type="pct"/>
            <w:gridSpan w:val="2"/>
            <w:vAlign w:val="center"/>
          </w:tcPr>
          <w:p w14:paraId="1BB0B7A3">
            <w:pPr>
              <w:spacing w:line="240" w:lineRule="auto"/>
              <w:ind w:firstLine="0" w:firstLineChars="0"/>
              <w:jc w:val="center"/>
              <w:rPr>
                <w:color w:val="auto"/>
                <w:sz w:val="21"/>
                <w:szCs w:val="21"/>
              </w:rPr>
            </w:pPr>
            <w:r>
              <w:rPr>
                <w:rFonts w:hint="eastAsia"/>
                <w:color w:val="auto"/>
                <w:sz w:val="21"/>
                <w:szCs w:val="21"/>
              </w:rPr>
              <w:t>85～95</w:t>
            </w:r>
          </w:p>
        </w:tc>
        <w:tc>
          <w:tcPr>
            <w:tcW w:w="555" w:type="pct"/>
            <w:gridSpan w:val="2"/>
            <w:vAlign w:val="center"/>
          </w:tcPr>
          <w:p w14:paraId="26C8E562">
            <w:pPr>
              <w:spacing w:line="240" w:lineRule="auto"/>
              <w:ind w:firstLine="0" w:firstLineChars="0"/>
              <w:jc w:val="center"/>
              <w:rPr>
                <w:color w:val="auto"/>
                <w:sz w:val="21"/>
                <w:szCs w:val="21"/>
              </w:rPr>
            </w:pPr>
            <w:r>
              <w:rPr>
                <w:rFonts w:hint="eastAsia"/>
                <w:color w:val="auto"/>
                <w:sz w:val="21"/>
                <w:szCs w:val="21"/>
              </w:rPr>
              <w:t>60～75</w:t>
            </w:r>
          </w:p>
        </w:tc>
        <w:tc>
          <w:tcPr>
            <w:tcW w:w="534" w:type="pct"/>
            <w:gridSpan w:val="2"/>
            <w:vAlign w:val="center"/>
          </w:tcPr>
          <w:p w14:paraId="17EFA75E">
            <w:pPr>
              <w:spacing w:line="240" w:lineRule="auto"/>
              <w:ind w:firstLine="0" w:firstLineChars="0"/>
              <w:jc w:val="center"/>
              <w:rPr>
                <w:color w:val="auto"/>
                <w:sz w:val="21"/>
                <w:szCs w:val="21"/>
              </w:rPr>
            </w:pPr>
            <w:r>
              <w:rPr>
                <w:rFonts w:hint="eastAsia"/>
                <w:color w:val="auto"/>
                <w:sz w:val="21"/>
                <w:szCs w:val="21"/>
              </w:rPr>
              <w:t>30～45</w:t>
            </w:r>
          </w:p>
        </w:tc>
        <w:tc>
          <w:tcPr>
            <w:tcW w:w="544" w:type="pct"/>
            <w:gridSpan w:val="2"/>
            <w:vAlign w:val="center"/>
          </w:tcPr>
          <w:p w14:paraId="011D9274">
            <w:pPr>
              <w:spacing w:line="240" w:lineRule="auto"/>
              <w:ind w:firstLine="0" w:firstLineChars="0"/>
              <w:jc w:val="center"/>
              <w:rPr>
                <w:color w:val="auto"/>
                <w:sz w:val="21"/>
                <w:szCs w:val="21"/>
              </w:rPr>
            </w:pPr>
            <w:r>
              <w:rPr>
                <w:rFonts w:hint="eastAsia"/>
                <w:color w:val="auto"/>
                <w:sz w:val="21"/>
                <w:szCs w:val="21"/>
              </w:rPr>
              <w:t>0～5</w:t>
            </w:r>
          </w:p>
        </w:tc>
        <w:tc>
          <w:tcPr>
            <w:tcW w:w="504" w:type="pct"/>
            <w:vAlign w:val="center"/>
          </w:tcPr>
          <w:p w14:paraId="09A97C62">
            <w:pPr>
              <w:spacing w:line="240" w:lineRule="auto"/>
              <w:ind w:firstLine="0" w:firstLineChars="0"/>
              <w:jc w:val="center"/>
              <w:rPr>
                <w:color w:val="auto"/>
                <w:sz w:val="21"/>
                <w:szCs w:val="21"/>
              </w:rPr>
            </w:pPr>
            <w:r>
              <w:rPr>
                <w:rFonts w:hint="eastAsia"/>
                <w:color w:val="auto"/>
                <w:sz w:val="21"/>
                <w:szCs w:val="21"/>
              </w:rPr>
              <w:t>0</w:t>
            </w:r>
          </w:p>
        </w:tc>
        <w:tc>
          <w:tcPr>
            <w:tcW w:w="412" w:type="pct"/>
            <w:gridSpan w:val="3"/>
            <w:vAlign w:val="center"/>
          </w:tcPr>
          <w:p w14:paraId="31AD542C">
            <w:pPr>
              <w:spacing w:line="240" w:lineRule="auto"/>
              <w:ind w:firstLine="0" w:firstLineChars="0"/>
              <w:jc w:val="center"/>
              <w:rPr>
                <w:color w:val="auto"/>
                <w:sz w:val="21"/>
                <w:szCs w:val="21"/>
              </w:rPr>
            </w:pPr>
          </w:p>
        </w:tc>
        <w:tc>
          <w:tcPr>
            <w:tcW w:w="299" w:type="pct"/>
            <w:vAlign w:val="center"/>
          </w:tcPr>
          <w:p w14:paraId="38E67456">
            <w:pPr>
              <w:spacing w:line="240" w:lineRule="auto"/>
              <w:ind w:firstLine="0" w:firstLineChars="0"/>
              <w:jc w:val="center"/>
              <w:rPr>
                <w:color w:val="auto"/>
                <w:sz w:val="21"/>
                <w:szCs w:val="21"/>
              </w:rPr>
            </w:pPr>
          </w:p>
        </w:tc>
      </w:tr>
      <w:tr w14:paraId="3BC6B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trPr>
        <w:tc>
          <w:tcPr>
            <w:tcW w:w="508" w:type="pct"/>
            <w:vMerge w:val="continue"/>
            <w:vAlign w:val="center"/>
          </w:tcPr>
          <w:p w14:paraId="28C0493B">
            <w:pPr>
              <w:spacing w:line="240" w:lineRule="auto"/>
              <w:ind w:firstLine="0" w:firstLineChars="0"/>
              <w:jc w:val="center"/>
              <w:rPr>
                <w:color w:val="auto"/>
                <w:sz w:val="21"/>
                <w:szCs w:val="21"/>
              </w:rPr>
            </w:pPr>
          </w:p>
        </w:tc>
        <w:tc>
          <w:tcPr>
            <w:tcW w:w="630" w:type="pct"/>
            <w:vAlign w:val="center"/>
          </w:tcPr>
          <w:p w14:paraId="0AFE840C">
            <w:pPr>
              <w:spacing w:line="240" w:lineRule="auto"/>
              <w:ind w:firstLine="0" w:firstLineChars="0"/>
              <w:jc w:val="center"/>
              <w:rPr>
                <w:color w:val="auto"/>
                <w:sz w:val="21"/>
                <w:szCs w:val="21"/>
              </w:rPr>
            </w:pPr>
            <w:r>
              <w:rPr>
                <w:rFonts w:hint="eastAsia"/>
                <w:color w:val="auto"/>
                <w:sz w:val="21"/>
                <w:szCs w:val="21"/>
              </w:rPr>
              <w:t>4.75～26.5</w:t>
            </w:r>
          </w:p>
        </w:tc>
        <w:tc>
          <w:tcPr>
            <w:tcW w:w="485" w:type="pct"/>
            <w:vAlign w:val="center"/>
          </w:tcPr>
          <w:p w14:paraId="0B7B3B07">
            <w:pPr>
              <w:spacing w:line="240" w:lineRule="auto"/>
              <w:ind w:firstLine="0" w:firstLineChars="0"/>
              <w:jc w:val="center"/>
              <w:rPr>
                <w:color w:val="auto"/>
                <w:sz w:val="21"/>
                <w:szCs w:val="21"/>
              </w:rPr>
            </w:pPr>
            <w:r>
              <w:rPr>
                <w:rFonts w:hint="eastAsia"/>
                <w:color w:val="auto"/>
                <w:sz w:val="21"/>
                <w:szCs w:val="21"/>
              </w:rPr>
              <w:t>95～100</w:t>
            </w:r>
          </w:p>
        </w:tc>
        <w:tc>
          <w:tcPr>
            <w:tcW w:w="530" w:type="pct"/>
            <w:gridSpan w:val="2"/>
            <w:vAlign w:val="center"/>
          </w:tcPr>
          <w:p w14:paraId="5CEB0C3F">
            <w:pPr>
              <w:spacing w:line="240" w:lineRule="auto"/>
              <w:ind w:firstLine="0" w:firstLineChars="0"/>
              <w:jc w:val="center"/>
              <w:rPr>
                <w:color w:val="auto"/>
                <w:sz w:val="21"/>
                <w:szCs w:val="21"/>
              </w:rPr>
            </w:pPr>
            <w:r>
              <w:rPr>
                <w:rFonts w:hint="eastAsia"/>
                <w:color w:val="auto"/>
                <w:sz w:val="21"/>
                <w:szCs w:val="21"/>
              </w:rPr>
              <w:t>90～100</w:t>
            </w:r>
          </w:p>
        </w:tc>
        <w:tc>
          <w:tcPr>
            <w:tcW w:w="555" w:type="pct"/>
            <w:gridSpan w:val="2"/>
            <w:vAlign w:val="center"/>
          </w:tcPr>
          <w:p w14:paraId="7C6A73A1">
            <w:pPr>
              <w:spacing w:line="240" w:lineRule="auto"/>
              <w:ind w:firstLine="0" w:firstLineChars="0"/>
              <w:jc w:val="center"/>
              <w:rPr>
                <w:color w:val="auto"/>
                <w:sz w:val="21"/>
                <w:szCs w:val="21"/>
              </w:rPr>
            </w:pPr>
            <w:r>
              <w:rPr>
                <w:rFonts w:hint="eastAsia"/>
                <w:color w:val="auto"/>
                <w:sz w:val="21"/>
                <w:szCs w:val="21"/>
              </w:rPr>
              <w:t>70～90</w:t>
            </w:r>
          </w:p>
        </w:tc>
        <w:tc>
          <w:tcPr>
            <w:tcW w:w="534" w:type="pct"/>
            <w:gridSpan w:val="2"/>
            <w:vAlign w:val="center"/>
          </w:tcPr>
          <w:p w14:paraId="208F42C4">
            <w:pPr>
              <w:spacing w:line="240" w:lineRule="auto"/>
              <w:ind w:firstLine="0" w:firstLineChars="0"/>
              <w:jc w:val="center"/>
              <w:rPr>
                <w:color w:val="auto"/>
                <w:sz w:val="21"/>
                <w:szCs w:val="21"/>
              </w:rPr>
            </w:pPr>
            <w:r>
              <w:rPr>
                <w:rFonts w:hint="eastAsia"/>
                <w:color w:val="auto"/>
                <w:sz w:val="21"/>
                <w:szCs w:val="21"/>
              </w:rPr>
              <w:t>50～70</w:t>
            </w:r>
          </w:p>
        </w:tc>
        <w:tc>
          <w:tcPr>
            <w:tcW w:w="544" w:type="pct"/>
            <w:gridSpan w:val="2"/>
            <w:vAlign w:val="center"/>
          </w:tcPr>
          <w:p w14:paraId="57A1F6BF">
            <w:pPr>
              <w:spacing w:line="240" w:lineRule="auto"/>
              <w:ind w:firstLine="0" w:firstLineChars="0"/>
              <w:jc w:val="center"/>
              <w:rPr>
                <w:color w:val="auto"/>
                <w:sz w:val="21"/>
                <w:szCs w:val="21"/>
              </w:rPr>
            </w:pPr>
            <w:r>
              <w:rPr>
                <w:rFonts w:hint="eastAsia"/>
                <w:color w:val="auto"/>
                <w:sz w:val="21"/>
                <w:szCs w:val="21"/>
              </w:rPr>
              <w:t>25～40</w:t>
            </w:r>
          </w:p>
        </w:tc>
        <w:tc>
          <w:tcPr>
            <w:tcW w:w="504" w:type="pct"/>
            <w:vAlign w:val="center"/>
          </w:tcPr>
          <w:p w14:paraId="719F58E1">
            <w:pPr>
              <w:spacing w:line="240" w:lineRule="auto"/>
              <w:ind w:firstLine="0" w:firstLineChars="0"/>
              <w:jc w:val="center"/>
              <w:rPr>
                <w:color w:val="auto"/>
                <w:sz w:val="21"/>
                <w:szCs w:val="21"/>
              </w:rPr>
            </w:pPr>
            <w:r>
              <w:rPr>
                <w:rFonts w:hint="eastAsia"/>
                <w:color w:val="auto"/>
                <w:sz w:val="21"/>
                <w:szCs w:val="21"/>
              </w:rPr>
              <w:t>0～5</w:t>
            </w:r>
          </w:p>
        </w:tc>
        <w:tc>
          <w:tcPr>
            <w:tcW w:w="412" w:type="pct"/>
            <w:gridSpan w:val="3"/>
            <w:vAlign w:val="center"/>
          </w:tcPr>
          <w:p w14:paraId="1A53B88D">
            <w:pPr>
              <w:spacing w:line="240" w:lineRule="auto"/>
              <w:ind w:firstLine="0" w:firstLineChars="0"/>
              <w:jc w:val="center"/>
              <w:rPr>
                <w:color w:val="auto"/>
                <w:sz w:val="21"/>
                <w:szCs w:val="21"/>
              </w:rPr>
            </w:pPr>
            <w:r>
              <w:rPr>
                <w:rFonts w:hint="eastAsia"/>
                <w:color w:val="auto"/>
                <w:sz w:val="21"/>
                <w:szCs w:val="21"/>
              </w:rPr>
              <w:t>0</w:t>
            </w:r>
          </w:p>
        </w:tc>
        <w:tc>
          <w:tcPr>
            <w:tcW w:w="299" w:type="pct"/>
            <w:vAlign w:val="center"/>
          </w:tcPr>
          <w:p w14:paraId="3404A1B5">
            <w:pPr>
              <w:spacing w:line="240" w:lineRule="auto"/>
              <w:ind w:firstLine="0" w:firstLineChars="0"/>
              <w:jc w:val="center"/>
              <w:rPr>
                <w:color w:val="auto"/>
                <w:sz w:val="21"/>
                <w:szCs w:val="21"/>
              </w:rPr>
            </w:pPr>
          </w:p>
        </w:tc>
      </w:tr>
      <w:tr w14:paraId="74DCF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508" w:type="pct"/>
            <w:vMerge w:val="continue"/>
            <w:vAlign w:val="center"/>
          </w:tcPr>
          <w:p w14:paraId="234640EB">
            <w:pPr>
              <w:spacing w:line="240" w:lineRule="auto"/>
              <w:ind w:firstLine="0" w:firstLineChars="0"/>
              <w:jc w:val="center"/>
              <w:rPr>
                <w:color w:val="auto"/>
                <w:sz w:val="21"/>
                <w:szCs w:val="21"/>
              </w:rPr>
            </w:pPr>
          </w:p>
        </w:tc>
        <w:tc>
          <w:tcPr>
            <w:tcW w:w="630" w:type="pct"/>
            <w:vAlign w:val="center"/>
          </w:tcPr>
          <w:p w14:paraId="55B01FA3">
            <w:pPr>
              <w:spacing w:line="240" w:lineRule="auto"/>
              <w:ind w:firstLine="0" w:firstLineChars="0"/>
              <w:jc w:val="center"/>
              <w:rPr>
                <w:color w:val="auto"/>
                <w:sz w:val="21"/>
                <w:szCs w:val="21"/>
              </w:rPr>
            </w:pPr>
            <w:r>
              <w:rPr>
                <w:rFonts w:hint="eastAsia"/>
                <w:color w:val="auto"/>
                <w:sz w:val="21"/>
                <w:szCs w:val="21"/>
              </w:rPr>
              <w:t>4.75～31.5</w:t>
            </w:r>
          </w:p>
        </w:tc>
        <w:tc>
          <w:tcPr>
            <w:tcW w:w="485" w:type="pct"/>
            <w:vAlign w:val="center"/>
          </w:tcPr>
          <w:p w14:paraId="4C929867">
            <w:pPr>
              <w:spacing w:line="240" w:lineRule="auto"/>
              <w:ind w:firstLine="0" w:firstLineChars="0"/>
              <w:jc w:val="center"/>
              <w:rPr>
                <w:color w:val="auto"/>
                <w:sz w:val="21"/>
                <w:szCs w:val="21"/>
              </w:rPr>
            </w:pPr>
            <w:r>
              <w:rPr>
                <w:rFonts w:hint="eastAsia"/>
                <w:color w:val="auto"/>
                <w:sz w:val="21"/>
                <w:szCs w:val="21"/>
              </w:rPr>
              <w:t>95～100</w:t>
            </w:r>
          </w:p>
        </w:tc>
        <w:tc>
          <w:tcPr>
            <w:tcW w:w="530" w:type="pct"/>
            <w:gridSpan w:val="2"/>
            <w:vAlign w:val="center"/>
          </w:tcPr>
          <w:p w14:paraId="6BE405F1">
            <w:pPr>
              <w:spacing w:line="240" w:lineRule="auto"/>
              <w:ind w:firstLine="0" w:firstLineChars="0"/>
              <w:jc w:val="center"/>
              <w:rPr>
                <w:color w:val="auto"/>
                <w:sz w:val="21"/>
                <w:szCs w:val="21"/>
              </w:rPr>
            </w:pPr>
            <w:r>
              <w:rPr>
                <w:rFonts w:hint="eastAsia"/>
                <w:color w:val="auto"/>
                <w:sz w:val="21"/>
                <w:szCs w:val="21"/>
              </w:rPr>
              <w:t>90～100</w:t>
            </w:r>
          </w:p>
        </w:tc>
        <w:tc>
          <w:tcPr>
            <w:tcW w:w="555" w:type="pct"/>
            <w:gridSpan w:val="2"/>
            <w:vAlign w:val="center"/>
          </w:tcPr>
          <w:p w14:paraId="3FB1DC17">
            <w:pPr>
              <w:spacing w:line="240" w:lineRule="auto"/>
              <w:ind w:firstLine="0" w:firstLineChars="0"/>
              <w:jc w:val="center"/>
              <w:rPr>
                <w:color w:val="auto"/>
                <w:sz w:val="21"/>
                <w:szCs w:val="21"/>
              </w:rPr>
            </w:pPr>
            <w:r>
              <w:rPr>
                <w:rFonts w:hint="eastAsia"/>
                <w:color w:val="auto"/>
                <w:sz w:val="21"/>
                <w:szCs w:val="21"/>
              </w:rPr>
              <w:t>75～90</w:t>
            </w:r>
          </w:p>
        </w:tc>
        <w:tc>
          <w:tcPr>
            <w:tcW w:w="534" w:type="pct"/>
            <w:gridSpan w:val="2"/>
            <w:vAlign w:val="center"/>
          </w:tcPr>
          <w:p w14:paraId="1E5BDC45">
            <w:pPr>
              <w:spacing w:line="240" w:lineRule="auto"/>
              <w:ind w:firstLine="0" w:firstLineChars="0"/>
              <w:jc w:val="center"/>
              <w:rPr>
                <w:color w:val="auto"/>
                <w:sz w:val="21"/>
                <w:szCs w:val="21"/>
              </w:rPr>
            </w:pPr>
            <w:r>
              <w:rPr>
                <w:rFonts w:hint="eastAsia"/>
                <w:color w:val="auto"/>
                <w:sz w:val="21"/>
                <w:szCs w:val="21"/>
              </w:rPr>
              <w:t>60～75</w:t>
            </w:r>
          </w:p>
        </w:tc>
        <w:tc>
          <w:tcPr>
            <w:tcW w:w="544" w:type="pct"/>
            <w:gridSpan w:val="2"/>
            <w:vAlign w:val="center"/>
          </w:tcPr>
          <w:p w14:paraId="615095AF">
            <w:pPr>
              <w:spacing w:line="240" w:lineRule="auto"/>
              <w:ind w:firstLine="0" w:firstLineChars="0"/>
              <w:jc w:val="center"/>
              <w:rPr>
                <w:color w:val="auto"/>
                <w:sz w:val="21"/>
                <w:szCs w:val="21"/>
              </w:rPr>
            </w:pPr>
            <w:r>
              <w:rPr>
                <w:rFonts w:hint="eastAsia"/>
                <w:color w:val="auto"/>
                <w:sz w:val="21"/>
                <w:szCs w:val="21"/>
              </w:rPr>
              <w:t>40～60</w:t>
            </w:r>
          </w:p>
        </w:tc>
        <w:tc>
          <w:tcPr>
            <w:tcW w:w="504" w:type="pct"/>
            <w:vAlign w:val="center"/>
          </w:tcPr>
          <w:p w14:paraId="131ED3B4">
            <w:pPr>
              <w:spacing w:line="240" w:lineRule="auto"/>
              <w:ind w:firstLine="0" w:firstLineChars="0"/>
              <w:jc w:val="center"/>
              <w:rPr>
                <w:color w:val="auto"/>
                <w:sz w:val="21"/>
                <w:szCs w:val="21"/>
              </w:rPr>
            </w:pPr>
            <w:r>
              <w:rPr>
                <w:rFonts w:hint="eastAsia"/>
                <w:color w:val="auto"/>
                <w:sz w:val="21"/>
                <w:szCs w:val="21"/>
              </w:rPr>
              <w:t>20～35</w:t>
            </w:r>
          </w:p>
        </w:tc>
        <w:tc>
          <w:tcPr>
            <w:tcW w:w="412" w:type="pct"/>
            <w:gridSpan w:val="3"/>
            <w:vAlign w:val="center"/>
          </w:tcPr>
          <w:p w14:paraId="293CEE9E">
            <w:pPr>
              <w:spacing w:line="240" w:lineRule="auto"/>
              <w:ind w:firstLine="0" w:firstLineChars="0"/>
              <w:jc w:val="center"/>
              <w:rPr>
                <w:color w:val="auto"/>
                <w:sz w:val="21"/>
                <w:szCs w:val="21"/>
              </w:rPr>
            </w:pPr>
            <w:r>
              <w:rPr>
                <w:rFonts w:hint="eastAsia"/>
                <w:color w:val="auto"/>
                <w:sz w:val="21"/>
                <w:szCs w:val="21"/>
              </w:rPr>
              <w:t>0～5</w:t>
            </w:r>
          </w:p>
        </w:tc>
        <w:tc>
          <w:tcPr>
            <w:tcW w:w="299" w:type="pct"/>
            <w:vAlign w:val="center"/>
          </w:tcPr>
          <w:p w14:paraId="362931FF">
            <w:pPr>
              <w:spacing w:line="240" w:lineRule="auto"/>
              <w:ind w:firstLine="0" w:firstLineChars="0"/>
              <w:jc w:val="center"/>
              <w:rPr>
                <w:color w:val="auto"/>
                <w:sz w:val="21"/>
                <w:szCs w:val="21"/>
              </w:rPr>
            </w:pPr>
            <w:r>
              <w:rPr>
                <w:rFonts w:hint="eastAsia"/>
                <w:color w:val="auto"/>
                <w:sz w:val="21"/>
                <w:szCs w:val="21"/>
              </w:rPr>
              <w:t>0</w:t>
            </w:r>
          </w:p>
        </w:tc>
      </w:tr>
      <w:tr w14:paraId="207B5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508" w:type="pct"/>
            <w:vMerge w:val="restart"/>
            <w:vAlign w:val="center"/>
          </w:tcPr>
          <w:p w14:paraId="4A9CA0F2">
            <w:pPr>
              <w:spacing w:line="240" w:lineRule="auto"/>
              <w:ind w:firstLine="0" w:firstLineChars="0"/>
              <w:jc w:val="center"/>
              <w:rPr>
                <w:color w:val="auto"/>
                <w:sz w:val="21"/>
                <w:szCs w:val="21"/>
              </w:rPr>
            </w:pPr>
          </w:p>
          <w:p w14:paraId="6070217C">
            <w:pPr>
              <w:spacing w:line="240" w:lineRule="auto"/>
              <w:ind w:firstLine="0" w:firstLineChars="0"/>
              <w:jc w:val="center"/>
              <w:rPr>
                <w:color w:val="auto"/>
                <w:sz w:val="21"/>
                <w:szCs w:val="21"/>
              </w:rPr>
            </w:pPr>
            <w:r>
              <w:rPr>
                <w:rFonts w:hint="eastAsia"/>
                <w:color w:val="auto"/>
                <w:sz w:val="21"/>
                <w:szCs w:val="21"/>
              </w:rPr>
              <w:t>粒</w:t>
            </w:r>
          </w:p>
          <w:p w14:paraId="71CEEC53">
            <w:pPr>
              <w:spacing w:line="240" w:lineRule="auto"/>
              <w:ind w:firstLine="0" w:firstLineChars="0"/>
              <w:jc w:val="center"/>
              <w:rPr>
                <w:color w:val="auto"/>
                <w:sz w:val="21"/>
                <w:szCs w:val="21"/>
              </w:rPr>
            </w:pPr>
          </w:p>
          <w:p w14:paraId="48C6C4BD">
            <w:pPr>
              <w:spacing w:line="240" w:lineRule="auto"/>
              <w:ind w:firstLine="0" w:firstLineChars="0"/>
              <w:jc w:val="center"/>
              <w:rPr>
                <w:color w:val="auto"/>
                <w:sz w:val="21"/>
                <w:szCs w:val="21"/>
              </w:rPr>
            </w:pPr>
            <w:r>
              <w:rPr>
                <w:rFonts w:hint="eastAsia"/>
                <w:color w:val="auto"/>
                <w:sz w:val="21"/>
                <w:szCs w:val="21"/>
              </w:rPr>
              <w:t>级</w:t>
            </w:r>
          </w:p>
        </w:tc>
        <w:tc>
          <w:tcPr>
            <w:tcW w:w="630" w:type="pct"/>
            <w:vAlign w:val="center"/>
          </w:tcPr>
          <w:p w14:paraId="7F4CD216">
            <w:pPr>
              <w:spacing w:line="240" w:lineRule="auto"/>
              <w:ind w:firstLine="0" w:firstLineChars="0"/>
              <w:jc w:val="center"/>
              <w:rPr>
                <w:color w:val="auto"/>
                <w:sz w:val="21"/>
                <w:szCs w:val="21"/>
              </w:rPr>
            </w:pPr>
            <w:r>
              <w:rPr>
                <w:rFonts w:hint="eastAsia"/>
                <w:color w:val="auto"/>
                <w:sz w:val="21"/>
                <w:szCs w:val="21"/>
              </w:rPr>
              <w:t>4.75～9.5</w:t>
            </w:r>
          </w:p>
        </w:tc>
        <w:tc>
          <w:tcPr>
            <w:tcW w:w="485" w:type="pct"/>
            <w:vAlign w:val="center"/>
          </w:tcPr>
          <w:p w14:paraId="32915136">
            <w:pPr>
              <w:spacing w:line="240" w:lineRule="auto"/>
              <w:ind w:firstLine="0" w:firstLineChars="0"/>
              <w:jc w:val="center"/>
              <w:rPr>
                <w:color w:val="auto"/>
                <w:sz w:val="21"/>
                <w:szCs w:val="21"/>
              </w:rPr>
            </w:pPr>
            <w:r>
              <w:rPr>
                <w:rFonts w:hint="eastAsia"/>
                <w:color w:val="auto"/>
                <w:sz w:val="21"/>
                <w:szCs w:val="21"/>
              </w:rPr>
              <w:t>95～100</w:t>
            </w:r>
          </w:p>
        </w:tc>
        <w:tc>
          <w:tcPr>
            <w:tcW w:w="530" w:type="pct"/>
            <w:gridSpan w:val="2"/>
            <w:vAlign w:val="center"/>
          </w:tcPr>
          <w:p w14:paraId="57A96885">
            <w:pPr>
              <w:spacing w:line="240" w:lineRule="auto"/>
              <w:ind w:firstLine="0" w:firstLineChars="0"/>
              <w:jc w:val="center"/>
              <w:rPr>
                <w:color w:val="auto"/>
                <w:sz w:val="21"/>
                <w:szCs w:val="21"/>
              </w:rPr>
            </w:pPr>
            <w:r>
              <w:rPr>
                <w:rFonts w:hint="eastAsia"/>
                <w:color w:val="auto"/>
                <w:sz w:val="21"/>
                <w:szCs w:val="21"/>
              </w:rPr>
              <w:t>80～100</w:t>
            </w:r>
          </w:p>
        </w:tc>
        <w:tc>
          <w:tcPr>
            <w:tcW w:w="555" w:type="pct"/>
            <w:gridSpan w:val="2"/>
            <w:vAlign w:val="center"/>
          </w:tcPr>
          <w:p w14:paraId="0B8F6B77">
            <w:pPr>
              <w:spacing w:line="240" w:lineRule="auto"/>
              <w:ind w:firstLine="0" w:firstLineChars="0"/>
              <w:jc w:val="center"/>
              <w:rPr>
                <w:color w:val="auto"/>
                <w:sz w:val="21"/>
                <w:szCs w:val="21"/>
              </w:rPr>
            </w:pPr>
            <w:r>
              <w:rPr>
                <w:rFonts w:hint="eastAsia"/>
                <w:color w:val="auto"/>
                <w:sz w:val="21"/>
                <w:szCs w:val="21"/>
              </w:rPr>
              <w:t>0～15</w:t>
            </w:r>
          </w:p>
        </w:tc>
        <w:tc>
          <w:tcPr>
            <w:tcW w:w="534" w:type="pct"/>
            <w:gridSpan w:val="2"/>
            <w:vAlign w:val="center"/>
          </w:tcPr>
          <w:p w14:paraId="148B0648">
            <w:pPr>
              <w:spacing w:line="240" w:lineRule="auto"/>
              <w:ind w:firstLine="0" w:firstLineChars="0"/>
              <w:jc w:val="center"/>
              <w:rPr>
                <w:color w:val="auto"/>
                <w:sz w:val="21"/>
                <w:szCs w:val="21"/>
              </w:rPr>
            </w:pPr>
            <w:r>
              <w:rPr>
                <w:rFonts w:hint="eastAsia"/>
                <w:color w:val="auto"/>
                <w:sz w:val="21"/>
                <w:szCs w:val="21"/>
              </w:rPr>
              <w:t>0</w:t>
            </w:r>
          </w:p>
        </w:tc>
        <w:tc>
          <w:tcPr>
            <w:tcW w:w="544" w:type="pct"/>
            <w:gridSpan w:val="2"/>
            <w:vAlign w:val="center"/>
          </w:tcPr>
          <w:p w14:paraId="0853F800">
            <w:pPr>
              <w:spacing w:line="240" w:lineRule="auto"/>
              <w:ind w:firstLine="0" w:firstLineChars="0"/>
              <w:jc w:val="center"/>
              <w:rPr>
                <w:color w:val="auto"/>
                <w:sz w:val="21"/>
                <w:szCs w:val="21"/>
              </w:rPr>
            </w:pPr>
          </w:p>
        </w:tc>
        <w:tc>
          <w:tcPr>
            <w:tcW w:w="504" w:type="pct"/>
            <w:vAlign w:val="center"/>
          </w:tcPr>
          <w:p w14:paraId="1720A73F">
            <w:pPr>
              <w:spacing w:line="240" w:lineRule="auto"/>
              <w:ind w:firstLine="0" w:firstLineChars="0"/>
              <w:jc w:val="center"/>
              <w:rPr>
                <w:color w:val="auto"/>
                <w:sz w:val="21"/>
                <w:szCs w:val="21"/>
              </w:rPr>
            </w:pPr>
          </w:p>
        </w:tc>
        <w:tc>
          <w:tcPr>
            <w:tcW w:w="412" w:type="pct"/>
            <w:gridSpan w:val="3"/>
            <w:vAlign w:val="center"/>
          </w:tcPr>
          <w:p w14:paraId="566972FB">
            <w:pPr>
              <w:spacing w:line="240" w:lineRule="auto"/>
              <w:ind w:firstLine="0" w:firstLineChars="0"/>
              <w:jc w:val="center"/>
              <w:rPr>
                <w:color w:val="auto"/>
                <w:sz w:val="21"/>
                <w:szCs w:val="21"/>
              </w:rPr>
            </w:pPr>
          </w:p>
        </w:tc>
        <w:tc>
          <w:tcPr>
            <w:tcW w:w="299" w:type="pct"/>
            <w:vAlign w:val="center"/>
          </w:tcPr>
          <w:p w14:paraId="52B3FDEB">
            <w:pPr>
              <w:spacing w:line="240" w:lineRule="auto"/>
              <w:ind w:firstLine="0" w:firstLineChars="0"/>
              <w:jc w:val="center"/>
              <w:rPr>
                <w:color w:val="auto"/>
                <w:sz w:val="21"/>
                <w:szCs w:val="21"/>
              </w:rPr>
            </w:pPr>
          </w:p>
        </w:tc>
      </w:tr>
      <w:tr w14:paraId="24355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rPr>
        <w:tc>
          <w:tcPr>
            <w:tcW w:w="508" w:type="pct"/>
            <w:vMerge w:val="continue"/>
            <w:vAlign w:val="center"/>
          </w:tcPr>
          <w:p w14:paraId="42C16AEC">
            <w:pPr>
              <w:spacing w:line="240" w:lineRule="auto"/>
              <w:ind w:firstLine="0" w:firstLineChars="0"/>
              <w:jc w:val="center"/>
              <w:rPr>
                <w:color w:val="auto"/>
                <w:sz w:val="21"/>
                <w:szCs w:val="21"/>
              </w:rPr>
            </w:pPr>
          </w:p>
        </w:tc>
        <w:tc>
          <w:tcPr>
            <w:tcW w:w="630" w:type="pct"/>
            <w:vAlign w:val="center"/>
          </w:tcPr>
          <w:p w14:paraId="478B1F5F">
            <w:pPr>
              <w:spacing w:line="240" w:lineRule="auto"/>
              <w:ind w:firstLine="0" w:firstLineChars="0"/>
              <w:jc w:val="center"/>
              <w:rPr>
                <w:color w:val="auto"/>
                <w:sz w:val="21"/>
                <w:szCs w:val="21"/>
              </w:rPr>
            </w:pPr>
            <w:r>
              <w:rPr>
                <w:rFonts w:hint="eastAsia"/>
                <w:color w:val="auto"/>
                <w:sz w:val="21"/>
                <w:szCs w:val="21"/>
              </w:rPr>
              <w:t>9.5～16</w:t>
            </w:r>
          </w:p>
        </w:tc>
        <w:tc>
          <w:tcPr>
            <w:tcW w:w="485" w:type="pct"/>
            <w:vAlign w:val="center"/>
          </w:tcPr>
          <w:p w14:paraId="45674BEE">
            <w:pPr>
              <w:spacing w:line="240" w:lineRule="auto"/>
              <w:ind w:firstLine="0" w:firstLineChars="0"/>
              <w:jc w:val="center"/>
              <w:rPr>
                <w:color w:val="auto"/>
                <w:sz w:val="21"/>
                <w:szCs w:val="21"/>
              </w:rPr>
            </w:pPr>
          </w:p>
        </w:tc>
        <w:tc>
          <w:tcPr>
            <w:tcW w:w="530" w:type="pct"/>
            <w:gridSpan w:val="2"/>
            <w:vAlign w:val="center"/>
          </w:tcPr>
          <w:p w14:paraId="6B824C20">
            <w:pPr>
              <w:spacing w:line="240" w:lineRule="auto"/>
              <w:ind w:firstLine="0" w:firstLineChars="0"/>
              <w:jc w:val="center"/>
              <w:rPr>
                <w:color w:val="auto"/>
                <w:sz w:val="21"/>
                <w:szCs w:val="21"/>
              </w:rPr>
            </w:pPr>
            <w:r>
              <w:rPr>
                <w:rFonts w:hint="eastAsia"/>
                <w:color w:val="auto"/>
                <w:sz w:val="21"/>
                <w:szCs w:val="21"/>
              </w:rPr>
              <w:t>95～100</w:t>
            </w:r>
          </w:p>
        </w:tc>
        <w:tc>
          <w:tcPr>
            <w:tcW w:w="555" w:type="pct"/>
            <w:gridSpan w:val="2"/>
            <w:vAlign w:val="center"/>
          </w:tcPr>
          <w:p w14:paraId="1029A98A">
            <w:pPr>
              <w:spacing w:line="240" w:lineRule="auto"/>
              <w:ind w:firstLine="0" w:firstLineChars="0"/>
              <w:jc w:val="center"/>
              <w:rPr>
                <w:color w:val="auto"/>
                <w:sz w:val="21"/>
                <w:szCs w:val="21"/>
              </w:rPr>
            </w:pPr>
            <w:r>
              <w:rPr>
                <w:rFonts w:hint="eastAsia"/>
                <w:color w:val="auto"/>
                <w:sz w:val="21"/>
                <w:szCs w:val="21"/>
              </w:rPr>
              <w:t>80～100</w:t>
            </w:r>
          </w:p>
        </w:tc>
        <w:tc>
          <w:tcPr>
            <w:tcW w:w="534" w:type="pct"/>
            <w:gridSpan w:val="2"/>
            <w:vAlign w:val="center"/>
          </w:tcPr>
          <w:p w14:paraId="2AE8FA22">
            <w:pPr>
              <w:spacing w:line="240" w:lineRule="auto"/>
              <w:ind w:firstLine="0" w:firstLineChars="0"/>
              <w:jc w:val="center"/>
              <w:rPr>
                <w:color w:val="auto"/>
                <w:sz w:val="21"/>
                <w:szCs w:val="21"/>
              </w:rPr>
            </w:pPr>
            <w:r>
              <w:rPr>
                <w:rFonts w:hint="eastAsia"/>
                <w:color w:val="auto"/>
                <w:sz w:val="21"/>
                <w:szCs w:val="21"/>
              </w:rPr>
              <w:t>0～15</w:t>
            </w:r>
          </w:p>
        </w:tc>
        <w:tc>
          <w:tcPr>
            <w:tcW w:w="544" w:type="pct"/>
            <w:gridSpan w:val="2"/>
            <w:vAlign w:val="center"/>
          </w:tcPr>
          <w:p w14:paraId="41B7D064">
            <w:pPr>
              <w:spacing w:line="240" w:lineRule="auto"/>
              <w:ind w:firstLine="0" w:firstLineChars="0"/>
              <w:jc w:val="center"/>
              <w:rPr>
                <w:color w:val="auto"/>
                <w:sz w:val="21"/>
                <w:szCs w:val="21"/>
              </w:rPr>
            </w:pPr>
            <w:r>
              <w:rPr>
                <w:rFonts w:hint="eastAsia"/>
                <w:color w:val="auto"/>
                <w:sz w:val="21"/>
                <w:szCs w:val="21"/>
              </w:rPr>
              <w:t>0</w:t>
            </w:r>
          </w:p>
        </w:tc>
        <w:tc>
          <w:tcPr>
            <w:tcW w:w="504" w:type="pct"/>
            <w:vAlign w:val="center"/>
          </w:tcPr>
          <w:p w14:paraId="756160F4">
            <w:pPr>
              <w:spacing w:line="240" w:lineRule="auto"/>
              <w:ind w:firstLine="0" w:firstLineChars="0"/>
              <w:jc w:val="center"/>
              <w:rPr>
                <w:color w:val="auto"/>
                <w:sz w:val="21"/>
                <w:szCs w:val="21"/>
              </w:rPr>
            </w:pPr>
          </w:p>
        </w:tc>
        <w:tc>
          <w:tcPr>
            <w:tcW w:w="412" w:type="pct"/>
            <w:gridSpan w:val="3"/>
            <w:vAlign w:val="center"/>
          </w:tcPr>
          <w:p w14:paraId="3343A655">
            <w:pPr>
              <w:spacing w:line="240" w:lineRule="auto"/>
              <w:ind w:firstLine="0" w:firstLineChars="0"/>
              <w:jc w:val="center"/>
              <w:rPr>
                <w:color w:val="auto"/>
                <w:sz w:val="21"/>
                <w:szCs w:val="21"/>
              </w:rPr>
            </w:pPr>
          </w:p>
        </w:tc>
        <w:tc>
          <w:tcPr>
            <w:tcW w:w="299" w:type="pct"/>
            <w:vAlign w:val="center"/>
          </w:tcPr>
          <w:p w14:paraId="57361BD3">
            <w:pPr>
              <w:spacing w:line="240" w:lineRule="auto"/>
              <w:ind w:firstLine="0" w:firstLineChars="0"/>
              <w:jc w:val="center"/>
              <w:rPr>
                <w:color w:val="auto"/>
                <w:sz w:val="21"/>
                <w:szCs w:val="21"/>
              </w:rPr>
            </w:pPr>
          </w:p>
        </w:tc>
      </w:tr>
      <w:tr w14:paraId="34A1F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508" w:type="pct"/>
            <w:vMerge w:val="continue"/>
            <w:vAlign w:val="center"/>
          </w:tcPr>
          <w:p w14:paraId="197CB66F">
            <w:pPr>
              <w:spacing w:line="240" w:lineRule="auto"/>
              <w:ind w:firstLine="0" w:firstLineChars="0"/>
              <w:jc w:val="center"/>
              <w:rPr>
                <w:color w:val="auto"/>
                <w:sz w:val="21"/>
                <w:szCs w:val="21"/>
              </w:rPr>
            </w:pPr>
          </w:p>
        </w:tc>
        <w:tc>
          <w:tcPr>
            <w:tcW w:w="630" w:type="pct"/>
            <w:vAlign w:val="center"/>
          </w:tcPr>
          <w:p w14:paraId="6A9870DB">
            <w:pPr>
              <w:spacing w:line="240" w:lineRule="auto"/>
              <w:ind w:firstLine="0" w:firstLineChars="0"/>
              <w:jc w:val="center"/>
              <w:rPr>
                <w:color w:val="auto"/>
                <w:sz w:val="21"/>
                <w:szCs w:val="21"/>
              </w:rPr>
            </w:pPr>
            <w:r>
              <w:rPr>
                <w:rFonts w:hint="eastAsia"/>
                <w:color w:val="auto"/>
                <w:sz w:val="21"/>
                <w:szCs w:val="21"/>
              </w:rPr>
              <w:t>9.5～19</w:t>
            </w:r>
          </w:p>
        </w:tc>
        <w:tc>
          <w:tcPr>
            <w:tcW w:w="485" w:type="pct"/>
            <w:vAlign w:val="center"/>
          </w:tcPr>
          <w:p w14:paraId="2112713D">
            <w:pPr>
              <w:spacing w:line="240" w:lineRule="auto"/>
              <w:ind w:firstLine="0" w:firstLineChars="0"/>
              <w:jc w:val="center"/>
              <w:rPr>
                <w:color w:val="auto"/>
                <w:sz w:val="21"/>
                <w:szCs w:val="21"/>
              </w:rPr>
            </w:pPr>
          </w:p>
        </w:tc>
        <w:tc>
          <w:tcPr>
            <w:tcW w:w="530" w:type="pct"/>
            <w:gridSpan w:val="2"/>
            <w:vAlign w:val="center"/>
          </w:tcPr>
          <w:p w14:paraId="531577B4">
            <w:pPr>
              <w:spacing w:line="240" w:lineRule="auto"/>
              <w:ind w:firstLine="0" w:firstLineChars="0"/>
              <w:jc w:val="center"/>
              <w:rPr>
                <w:color w:val="auto"/>
                <w:sz w:val="21"/>
                <w:szCs w:val="21"/>
              </w:rPr>
            </w:pPr>
            <w:r>
              <w:rPr>
                <w:rFonts w:hint="eastAsia"/>
                <w:color w:val="auto"/>
                <w:sz w:val="21"/>
                <w:szCs w:val="21"/>
              </w:rPr>
              <w:t>95～100</w:t>
            </w:r>
          </w:p>
        </w:tc>
        <w:tc>
          <w:tcPr>
            <w:tcW w:w="555" w:type="pct"/>
            <w:gridSpan w:val="2"/>
            <w:vAlign w:val="center"/>
          </w:tcPr>
          <w:p w14:paraId="36856C19">
            <w:pPr>
              <w:spacing w:line="240" w:lineRule="auto"/>
              <w:ind w:firstLine="0" w:firstLineChars="0"/>
              <w:jc w:val="center"/>
              <w:rPr>
                <w:color w:val="auto"/>
                <w:sz w:val="21"/>
                <w:szCs w:val="21"/>
              </w:rPr>
            </w:pPr>
            <w:r>
              <w:rPr>
                <w:rFonts w:hint="eastAsia"/>
                <w:color w:val="auto"/>
                <w:sz w:val="21"/>
                <w:szCs w:val="21"/>
              </w:rPr>
              <w:t>85～100</w:t>
            </w:r>
          </w:p>
        </w:tc>
        <w:tc>
          <w:tcPr>
            <w:tcW w:w="534" w:type="pct"/>
            <w:gridSpan w:val="2"/>
            <w:vAlign w:val="center"/>
          </w:tcPr>
          <w:p w14:paraId="52044027">
            <w:pPr>
              <w:spacing w:line="240" w:lineRule="auto"/>
              <w:ind w:firstLine="0" w:firstLineChars="0"/>
              <w:jc w:val="center"/>
              <w:rPr>
                <w:color w:val="auto"/>
                <w:sz w:val="21"/>
                <w:szCs w:val="21"/>
              </w:rPr>
            </w:pPr>
            <w:r>
              <w:rPr>
                <w:rFonts w:hint="eastAsia"/>
                <w:color w:val="auto"/>
                <w:sz w:val="21"/>
                <w:szCs w:val="21"/>
              </w:rPr>
              <w:t>40～60</w:t>
            </w:r>
          </w:p>
        </w:tc>
        <w:tc>
          <w:tcPr>
            <w:tcW w:w="544" w:type="pct"/>
            <w:gridSpan w:val="2"/>
            <w:vAlign w:val="center"/>
          </w:tcPr>
          <w:p w14:paraId="612E11E7">
            <w:pPr>
              <w:spacing w:line="240" w:lineRule="auto"/>
              <w:ind w:firstLine="0" w:firstLineChars="0"/>
              <w:jc w:val="center"/>
              <w:rPr>
                <w:color w:val="auto"/>
                <w:sz w:val="21"/>
                <w:szCs w:val="21"/>
              </w:rPr>
            </w:pPr>
            <w:r>
              <w:rPr>
                <w:rFonts w:hint="eastAsia"/>
                <w:color w:val="auto"/>
                <w:sz w:val="21"/>
                <w:szCs w:val="21"/>
              </w:rPr>
              <w:t>0～15</w:t>
            </w:r>
          </w:p>
        </w:tc>
        <w:tc>
          <w:tcPr>
            <w:tcW w:w="504" w:type="pct"/>
            <w:vAlign w:val="center"/>
          </w:tcPr>
          <w:p w14:paraId="55218D97">
            <w:pPr>
              <w:spacing w:line="240" w:lineRule="auto"/>
              <w:ind w:firstLine="0" w:firstLineChars="0"/>
              <w:jc w:val="center"/>
              <w:rPr>
                <w:color w:val="auto"/>
                <w:sz w:val="21"/>
                <w:szCs w:val="21"/>
              </w:rPr>
            </w:pPr>
            <w:r>
              <w:rPr>
                <w:rFonts w:hint="eastAsia"/>
                <w:color w:val="auto"/>
                <w:sz w:val="21"/>
                <w:szCs w:val="21"/>
              </w:rPr>
              <w:t>0</w:t>
            </w:r>
          </w:p>
        </w:tc>
        <w:tc>
          <w:tcPr>
            <w:tcW w:w="412" w:type="pct"/>
            <w:gridSpan w:val="3"/>
            <w:vAlign w:val="center"/>
          </w:tcPr>
          <w:p w14:paraId="47F0948E">
            <w:pPr>
              <w:spacing w:line="240" w:lineRule="auto"/>
              <w:ind w:firstLine="0" w:firstLineChars="0"/>
              <w:jc w:val="center"/>
              <w:rPr>
                <w:color w:val="auto"/>
                <w:sz w:val="21"/>
                <w:szCs w:val="21"/>
              </w:rPr>
            </w:pPr>
          </w:p>
        </w:tc>
        <w:tc>
          <w:tcPr>
            <w:tcW w:w="299" w:type="pct"/>
            <w:vAlign w:val="center"/>
          </w:tcPr>
          <w:p w14:paraId="33CDD0ED">
            <w:pPr>
              <w:spacing w:line="240" w:lineRule="auto"/>
              <w:ind w:firstLine="0" w:firstLineChars="0"/>
              <w:jc w:val="center"/>
              <w:rPr>
                <w:color w:val="auto"/>
                <w:sz w:val="21"/>
                <w:szCs w:val="21"/>
              </w:rPr>
            </w:pPr>
          </w:p>
        </w:tc>
      </w:tr>
      <w:tr w14:paraId="760FE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9" w:hRule="atLeast"/>
        </w:trPr>
        <w:tc>
          <w:tcPr>
            <w:tcW w:w="508" w:type="pct"/>
            <w:vMerge w:val="continue"/>
            <w:vAlign w:val="center"/>
          </w:tcPr>
          <w:p w14:paraId="1B4EEEC3">
            <w:pPr>
              <w:spacing w:line="240" w:lineRule="auto"/>
              <w:ind w:firstLine="0" w:firstLineChars="0"/>
              <w:jc w:val="center"/>
              <w:rPr>
                <w:color w:val="auto"/>
                <w:sz w:val="21"/>
                <w:szCs w:val="21"/>
              </w:rPr>
            </w:pPr>
          </w:p>
        </w:tc>
        <w:tc>
          <w:tcPr>
            <w:tcW w:w="630" w:type="pct"/>
            <w:vAlign w:val="center"/>
          </w:tcPr>
          <w:p w14:paraId="0C799757">
            <w:pPr>
              <w:spacing w:line="240" w:lineRule="auto"/>
              <w:ind w:firstLine="0" w:firstLineChars="0"/>
              <w:jc w:val="center"/>
              <w:rPr>
                <w:color w:val="auto"/>
                <w:sz w:val="21"/>
                <w:szCs w:val="21"/>
              </w:rPr>
            </w:pPr>
            <w:r>
              <w:rPr>
                <w:rFonts w:hint="eastAsia"/>
                <w:color w:val="auto"/>
                <w:sz w:val="21"/>
                <w:szCs w:val="21"/>
              </w:rPr>
              <w:t>16～26.5</w:t>
            </w:r>
          </w:p>
        </w:tc>
        <w:tc>
          <w:tcPr>
            <w:tcW w:w="485" w:type="pct"/>
            <w:vAlign w:val="center"/>
          </w:tcPr>
          <w:p w14:paraId="4ACB3502">
            <w:pPr>
              <w:spacing w:line="240" w:lineRule="auto"/>
              <w:ind w:firstLine="0" w:firstLineChars="0"/>
              <w:jc w:val="center"/>
              <w:rPr>
                <w:color w:val="auto"/>
                <w:sz w:val="21"/>
                <w:szCs w:val="21"/>
              </w:rPr>
            </w:pPr>
          </w:p>
        </w:tc>
        <w:tc>
          <w:tcPr>
            <w:tcW w:w="530" w:type="pct"/>
            <w:gridSpan w:val="2"/>
            <w:vAlign w:val="center"/>
          </w:tcPr>
          <w:p w14:paraId="20A362C1">
            <w:pPr>
              <w:spacing w:line="240" w:lineRule="auto"/>
              <w:ind w:firstLine="0" w:firstLineChars="0"/>
              <w:jc w:val="center"/>
              <w:rPr>
                <w:color w:val="auto"/>
                <w:sz w:val="21"/>
                <w:szCs w:val="21"/>
              </w:rPr>
            </w:pPr>
          </w:p>
        </w:tc>
        <w:tc>
          <w:tcPr>
            <w:tcW w:w="555" w:type="pct"/>
            <w:gridSpan w:val="2"/>
            <w:vAlign w:val="center"/>
          </w:tcPr>
          <w:p w14:paraId="36D19B6E">
            <w:pPr>
              <w:spacing w:line="240" w:lineRule="auto"/>
              <w:ind w:firstLine="0" w:firstLineChars="0"/>
              <w:jc w:val="center"/>
              <w:rPr>
                <w:color w:val="auto"/>
                <w:sz w:val="21"/>
                <w:szCs w:val="21"/>
              </w:rPr>
            </w:pPr>
            <w:r>
              <w:rPr>
                <w:rFonts w:hint="eastAsia"/>
                <w:color w:val="auto"/>
                <w:sz w:val="21"/>
                <w:szCs w:val="21"/>
              </w:rPr>
              <w:t>95～100</w:t>
            </w:r>
          </w:p>
        </w:tc>
        <w:tc>
          <w:tcPr>
            <w:tcW w:w="534" w:type="pct"/>
            <w:gridSpan w:val="2"/>
            <w:vAlign w:val="center"/>
          </w:tcPr>
          <w:p w14:paraId="7F06E6F4">
            <w:pPr>
              <w:spacing w:line="240" w:lineRule="auto"/>
              <w:ind w:firstLine="0" w:firstLineChars="0"/>
              <w:jc w:val="center"/>
              <w:rPr>
                <w:color w:val="auto"/>
                <w:sz w:val="21"/>
                <w:szCs w:val="21"/>
              </w:rPr>
            </w:pPr>
            <w:r>
              <w:rPr>
                <w:rFonts w:hint="eastAsia"/>
                <w:color w:val="auto"/>
                <w:sz w:val="21"/>
                <w:szCs w:val="21"/>
              </w:rPr>
              <w:t>55～70</w:t>
            </w:r>
          </w:p>
        </w:tc>
        <w:tc>
          <w:tcPr>
            <w:tcW w:w="544" w:type="pct"/>
            <w:gridSpan w:val="2"/>
            <w:vAlign w:val="center"/>
          </w:tcPr>
          <w:p w14:paraId="506FDA8C">
            <w:pPr>
              <w:spacing w:line="240" w:lineRule="auto"/>
              <w:ind w:firstLine="0" w:firstLineChars="0"/>
              <w:jc w:val="center"/>
              <w:rPr>
                <w:color w:val="auto"/>
                <w:sz w:val="21"/>
                <w:szCs w:val="21"/>
              </w:rPr>
            </w:pPr>
            <w:r>
              <w:rPr>
                <w:rFonts w:hint="eastAsia"/>
                <w:color w:val="auto"/>
                <w:sz w:val="21"/>
                <w:szCs w:val="21"/>
              </w:rPr>
              <w:t>25～40</w:t>
            </w:r>
          </w:p>
        </w:tc>
        <w:tc>
          <w:tcPr>
            <w:tcW w:w="504" w:type="pct"/>
            <w:vAlign w:val="center"/>
          </w:tcPr>
          <w:p w14:paraId="301CFD82">
            <w:pPr>
              <w:spacing w:line="240" w:lineRule="auto"/>
              <w:ind w:firstLine="0" w:firstLineChars="0"/>
              <w:jc w:val="center"/>
              <w:rPr>
                <w:color w:val="auto"/>
                <w:sz w:val="21"/>
                <w:szCs w:val="21"/>
              </w:rPr>
            </w:pPr>
            <w:r>
              <w:rPr>
                <w:rFonts w:hint="eastAsia"/>
                <w:color w:val="auto"/>
                <w:sz w:val="21"/>
                <w:szCs w:val="21"/>
              </w:rPr>
              <w:t>0～10</w:t>
            </w:r>
          </w:p>
        </w:tc>
        <w:tc>
          <w:tcPr>
            <w:tcW w:w="412" w:type="pct"/>
            <w:gridSpan w:val="3"/>
            <w:vAlign w:val="center"/>
          </w:tcPr>
          <w:p w14:paraId="34FB6B24">
            <w:pPr>
              <w:pStyle w:val="57"/>
              <w:pBdr>
                <w:bottom w:val="none" w:color="auto" w:sz="0" w:space="0"/>
              </w:pBdr>
              <w:tabs>
                <w:tab w:val="clear" w:pos="4153"/>
                <w:tab w:val="clear" w:pos="8306"/>
              </w:tabs>
              <w:snapToGrid/>
              <w:ind w:firstLine="0" w:firstLineChars="0"/>
              <w:rPr>
                <w:color w:val="auto"/>
                <w:sz w:val="21"/>
                <w:szCs w:val="21"/>
              </w:rPr>
            </w:pPr>
            <w:r>
              <w:rPr>
                <w:rFonts w:hint="eastAsia"/>
                <w:color w:val="auto"/>
                <w:sz w:val="21"/>
                <w:szCs w:val="21"/>
              </w:rPr>
              <w:t>0</w:t>
            </w:r>
          </w:p>
        </w:tc>
        <w:tc>
          <w:tcPr>
            <w:tcW w:w="299" w:type="pct"/>
            <w:vAlign w:val="center"/>
          </w:tcPr>
          <w:p w14:paraId="5D95E38B">
            <w:pPr>
              <w:spacing w:line="240" w:lineRule="auto"/>
              <w:ind w:firstLine="0" w:firstLineChars="0"/>
              <w:jc w:val="center"/>
              <w:rPr>
                <w:color w:val="auto"/>
                <w:sz w:val="21"/>
                <w:szCs w:val="21"/>
              </w:rPr>
            </w:pPr>
          </w:p>
        </w:tc>
      </w:tr>
      <w:tr w14:paraId="143D2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7" w:hRule="atLeast"/>
        </w:trPr>
        <w:tc>
          <w:tcPr>
            <w:tcW w:w="508" w:type="pct"/>
            <w:vMerge w:val="continue"/>
            <w:vAlign w:val="center"/>
          </w:tcPr>
          <w:p w14:paraId="0F60E65C">
            <w:pPr>
              <w:spacing w:line="240" w:lineRule="auto"/>
              <w:ind w:firstLine="0" w:firstLineChars="0"/>
              <w:jc w:val="center"/>
              <w:rPr>
                <w:color w:val="auto"/>
                <w:sz w:val="21"/>
                <w:szCs w:val="21"/>
              </w:rPr>
            </w:pPr>
          </w:p>
        </w:tc>
        <w:tc>
          <w:tcPr>
            <w:tcW w:w="630" w:type="pct"/>
            <w:vAlign w:val="center"/>
          </w:tcPr>
          <w:p w14:paraId="4B61414A">
            <w:pPr>
              <w:spacing w:line="240" w:lineRule="auto"/>
              <w:ind w:firstLine="0" w:firstLineChars="0"/>
              <w:jc w:val="center"/>
              <w:rPr>
                <w:color w:val="auto"/>
                <w:sz w:val="21"/>
                <w:szCs w:val="21"/>
              </w:rPr>
            </w:pPr>
            <w:r>
              <w:rPr>
                <w:rFonts w:hint="eastAsia"/>
                <w:color w:val="auto"/>
                <w:sz w:val="21"/>
                <w:szCs w:val="21"/>
              </w:rPr>
              <w:t>16～31.5</w:t>
            </w:r>
          </w:p>
        </w:tc>
        <w:tc>
          <w:tcPr>
            <w:tcW w:w="485" w:type="pct"/>
            <w:vAlign w:val="center"/>
          </w:tcPr>
          <w:p w14:paraId="16100F3E">
            <w:pPr>
              <w:spacing w:line="240" w:lineRule="auto"/>
              <w:ind w:firstLine="0" w:firstLineChars="0"/>
              <w:jc w:val="center"/>
              <w:rPr>
                <w:color w:val="auto"/>
                <w:sz w:val="21"/>
                <w:szCs w:val="21"/>
              </w:rPr>
            </w:pPr>
          </w:p>
        </w:tc>
        <w:tc>
          <w:tcPr>
            <w:tcW w:w="530" w:type="pct"/>
            <w:gridSpan w:val="2"/>
            <w:vAlign w:val="center"/>
          </w:tcPr>
          <w:p w14:paraId="7A18A2D3">
            <w:pPr>
              <w:spacing w:line="240" w:lineRule="auto"/>
              <w:ind w:firstLine="0" w:firstLineChars="0"/>
              <w:jc w:val="center"/>
              <w:rPr>
                <w:color w:val="auto"/>
                <w:sz w:val="21"/>
                <w:szCs w:val="21"/>
              </w:rPr>
            </w:pPr>
          </w:p>
        </w:tc>
        <w:tc>
          <w:tcPr>
            <w:tcW w:w="555" w:type="pct"/>
            <w:gridSpan w:val="2"/>
            <w:vAlign w:val="center"/>
          </w:tcPr>
          <w:p w14:paraId="3B988EB3">
            <w:pPr>
              <w:spacing w:line="240" w:lineRule="auto"/>
              <w:ind w:firstLine="0" w:firstLineChars="0"/>
              <w:jc w:val="center"/>
              <w:rPr>
                <w:color w:val="auto"/>
                <w:sz w:val="21"/>
                <w:szCs w:val="21"/>
              </w:rPr>
            </w:pPr>
            <w:r>
              <w:rPr>
                <w:rFonts w:hint="eastAsia"/>
                <w:color w:val="auto"/>
                <w:sz w:val="21"/>
                <w:szCs w:val="21"/>
              </w:rPr>
              <w:t>95～100</w:t>
            </w:r>
          </w:p>
        </w:tc>
        <w:tc>
          <w:tcPr>
            <w:tcW w:w="534" w:type="pct"/>
            <w:gridSpan w:val="2"/>
            <w:vAlign w:val="center"/>
          </w:tcPr>
          <w:p w14:paraId="45F1C430">
            <w:pPr>
              <w:spacing w:line="240" w:lineRule="auto"/>
              <w:ind w:firstLine="0" w:firstLineChars="0"/>
              <w:jc w:val="center"/>
              <w:rPr>
                <w:color w:val="auto"/>
                <w:sz w:val="21"/>
                <w:szCs w:val="21"/>
              </w:rPr>
            </w:pPr>
            <w:r>
              <w:rPr>
                <w:rFonts w:hint="eastAsia"/>
                <w:color w:val="auto"/>
                <w:sz w:val="21"/>
                <w:szCs w:val="21"/>
              </w:rPr>
              <w:t>85～100</w:t>
            </w:r>
          </w:p>
        </w:tc>
        <w:tc>
          <w:tcPr>
            <w:tcW w:w="544" w:type="pct"/>
            <w:gridSpan w:val="2"/>
            <w:vAlign w:val="center"/>
          </w:tcPr>
          <w:p w14:paraId="0E2649CA">
            <w:pPr>
              <w:spacing w:line="240" w:lineRule="auto"/>
              <w:ind w:firstLine="0" w:firstLineChars="0"/>
              <w:jc w:val="center"/>
              <w:rPr>
                <w:color w:val="auto"/>
                <w:sz w:val="21"/>
                <w:szCs w:val="21"/>
              </w:rPr>
            </w:pPr>
            <w:r>
              <w:rPr>
                <w:rFonts w:hint="eastAsia"/>
                <w:color w:val="auto"/>
                <w:sz w:val="21"/>
                <w:szCs w:val="21"/>
              </w:rPr>
              <w:t>55～70</w:t>
            </w:r>
          </w:p>
        </w:tc>
        <w:tc>
          <w:tcPr>
            <w:tcW w:w="504" w:type="pct"/>
            <w:vAlign w:val="center"/>
          </w:tcPr>
          <w:p w14:paraId="0E56CA5D">
            <w:pPr>
              <w:spacing w:line="240" w:lineRule="auto"/>
              <w:ind w:firstLine="0" w:firstLineChars="0"/>
              <w:jc w:val="center"/>
              <w:rPr>
                <w:color w:val="auto"/>
                <w:sz w:val="21"/>
                <w:szCs w:val="21"/>
              </w:rPr>
            </w:pPr>
            <w:r>
              <w:rPr>
                <w:rFonts w:hint="eastAsia"/>
                <w:color w:val="auto"/>
                <w:sz w:val="21"/>
                <w:szCs w:val="21"/>
              </w:rPr>
              <w:t>25～40</w:t>
            </w:r>
          </w:p>
        </w:tc>
        <w:tc>
          <w:tcPr>
            <w:tcW w:w="412" w:type="pct"/>
            <w:gridSpan w:val="3"/>
            <w:vAlign w:val="center"/>
          </w:tcPr>
          <w:p w14:paraId="6AEC96E2">
            <w:pPr>
              <w:spacing w:line="240" w:lineRule="auto"/>
              <w:ind w:firstLine="0" w:firstLineChars="0"/>
              <w:rPr>
                <w:color w:val="auto"/>
                <w:sz w:val="21"/>
                <w:szCs w:val="21"/>
              </w:rPr>
            </w:pPr>
            <w:r>
              <w:rPr>
                <w:rFonts w:hint="eastAsia"/>
                <w:color w:val="auto"/>
                <w:sz w:val="21"/>
                <w:szCs w:val="21"/>
              </w:rPr>
              <w:t>0～10</w:t>
            </w:r>
          </w:p>
        </w:tc>
        <w:tc>
          <w:tcPr>
            <w:tcW w:w="299" w:type="pct"/>
            <w:vAlign w:val="center"/>
          </w:tcPr>
          <w:p w14:paraId="34A3AE0E">
            <w:pPr>
              <w:spacing w:line="240" w:lineRule="auto"/>
              <w:ind w:firstLine="0" w:firstLineChars="0"/>
              <w:jc w:val="center"/>
              <w:rPr>
                <w:color w:val="auto"/>
                <w:sz w:val="21"/>
                <w:szCs w:val="21"/>
              </w:rPr>
            </w:pPr>
            <w:r>
              <w:rPr>
                <w:rFonts w:hint="eastAsia"/>
                <w:color w:val="auto"/>
                <w:sz w:val="21"/>
                <w:szCs w:val="21"/>
              </w:rPr>
              <w:t>0</w:t>
            </w:r>
          </w:p>
        </w:tc>
      </w:tr>
    </w:tbl>
    <w:p w14:paraId="3B6F6C59">
      <w:pPr>
        <w:ind w:firstLine="480"/>
        <w:rPr>
          <w:color w:val="auto"/>
        </w:rPr>
      </w:pPr>
      <w:r>
        <w:rPr>
          <w:rFonts w:hint="eastAsia"/>
          <w:color w:val="auto"/>
        </w:rPr>
        <w:t>C、细集料</w:t>
      </w:r>
    </w:p>
    <w:p w14:paraId="50E01EF8">
      <w:pPr>
        <w:ind w:firstLine="480"/>
        <w:rPr>
          <w:color w:val="auto"/>
        </w:rPr>
      </w:pPr>
      <w:r>
        <w:rPr>
          <w:rFonts w:hint="eastAsia"/>
          <w:color w:val="auto"/>
        </w:rPr>
        <w:t>细集料应使用质地坚硬、耐久、洁净的天然砂、机制砂或混合砂，路面宜使用河砂，其硅质含量不宜低于25%，水泥用量不得小于300</w:t>
      </w:r>
      <w:r>
        <w:rPr>
          <w:color w:val="auto"/>
        </w:rPr>
        <w:t>kg/</w:t>
      </w:r>
      <w:r>
        <w:rPr>
          <w:rFonts w:hint="eastAsia"/>
          <w:color w:val="auto"/>
        </w:rPr>
        <w:t>m³，水泥混凝土路面使用的集料不应低于Ⅱ级。</w:t>
      </w:r>
    </w:p>
    <w:p w14:paraId="05477574">
      <w:pPr>
        <w:ind w:firstLine="480"/>
        <w:rPr>
          <w:color w:val="auto"/>
        </w:rPr>
      </w:pPr>
      <w:r>
        <w:rPr>
          <w:rFonts w:hint="eastAsia"/>
          <w:color w:val="auto"/>
        </w:rPr>
        <w:t>水泥砼面板用天然砂宜为中砂，也可使用细度模数在2.8～3.9之间的砂。同一配合比用砂的细度模数变化范围不应超过0.3，否则，应分别堆放，并调整配合比中的砂率后使用。细集料级配要求应符合下表规定。</w:t>
      </w:r>
    </w:p>
    <w:p w14:paraId="67C7AF5A">
      <w:pPr>
        <w:spacing w:before="80"/>
        <w:ind w:firstLine="482"/>
        <w:jc w:val="center"/>
        <w:rPr>
          <w:b/>
          <w:color w:val="auto"/>
          <w:szCs w:val="21"/>
        </w:rPr>
      </w:pPr>
      <w:r>
        <w:rPr>
          <w:rFonts w:hint="eastAsia"/>
          <w:b/>
          <w:color w:val="auto"/>
          <w:szCs w:val="21"/>
        </w:rPr>
        <w:t>水泥砼路面细集料级配范围</w:t>
      </w:r>
    </w:p>
    <w:tbl>
      <w:tblPr>
        <w:tblStyle w:val="88"/>
        <w:tblW w:w="486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4"/>
        <w:gridCol w:w="1171"/>
        <w:gridCol w:w="1310"/>
        <w:gridCol w:w="1310"/>
        <w:gridCol w:w="1310"/>
        <w:gridCol w:w="1310"/>
        <w:gridCol w:w="1310"/>
        <w:gridCol w:w="1320"/>
      </w:tblGrid>
      <w:tr w14:paraId="19322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390" w:type="pct"/>
            <w:vMerge w:val="restart"/>
            <w:vAlign w:val="center"/>
          </w:tcPr>
          <w:p w14:paraId="4D6D971B">
            <w:pPr>
              <w:spacing w:line="240" w:lineRule="auto"/>
              <w:ind w:firstLine="0" w:firstLineChars="0"/>
              <w:jc w:val="center"/>
              <w:rPr>
                <w:color w:val="auto"/>
                <w:sz w:val="21"/>
                <w:szCs w:val="21"/>
              </w:rPr>
            </w:pPr>
            <w:r>
              <w:rPr>
                <w:rFonts w:hint="eastAsia"/>
                <w:color w:val="auto"/>
                <w:sz w:val="21"/>
                <w:szCs w:val="21"/>
              </w:rPr>
              <w:t>砂分级</w:t>
            </w:r>
          </w:p>
        </w:tc>
        <w:tc>
          <w:tcPr>
            <w:tcW w:w="4610" w:type="pct"/>
            <w:gridSpan w:val="7"/>
            <w:vAlign w:val="center"/>
          </w:tcPr>
          <w:p w14:paraId="03CDDEDC">
            <w:pPr>
              <w:spacing w:line="240" w:lineRule="auto"/>
              <w:ind w:firstLine="0" w:firstLineChars="0"/>
              <w:jc w:val="center"/>
              <w:rPr>
                <w:color w:val="auto"/>
                <w:sz w:val="21"/>
                <w:szCs w:val="21"/>
              </w:rPr>
            </w:pPr>
            <w:r>
              <w:rPr>
                <w:rFonts w:hint="eastAsia"/>
                <w:color w:val="auto"/>
                <w:sz w:val="21"/>
                <w:szCs w:val="21"/>
              </w:rPr>
              <w:t>方筛孔尺寸（mm）</w:t>
            </w:r>
          </w:p>
        </w:tc>
      </w:tr>
      <w:tr w14:paraId="328F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jc w:val="center"/>
        </w:trPr>
        <w:tc>
          <w:tcPr>
            <w:tcW w:w="390" w:type="pct"/>
            <w:vMerge w:val="continue"/>
            <w:vAlign w:val="center"/>
          </w:tcPr>
          <w:p w14:paraId="7216DC5B">
            <w:pPr>
              <w:spacing w:line="240" w:lineRule="auto"/>
              <w:ind w:firstLine="0" w:firstLineChars="0"/>
              <w:jc w:val="center"/>
              <w:rPr>
                <w:color w:val="auto"/>
                <w:sz w:val="21"/>
                <w:szCs w:val="21"/>
              </w:rPr>
            </w:pPr>
          </w:p>
        </w:tc>
        <w:tc>
          <w:tcPr>
            <w:tcW w:w="597" w:type="pct"/>
            <w:vAlign w:val="center"/>
          </w:tcPr>
          <w:p w14:paraId="2D5F7480">
            <w:pPr>
              <w:spacing w:line="240" w:lineRule="auto"/>
              <w:ind w:firstLine="0" w:firstLineChars="0"/>
              <w:jc w:val="center"/>
              <w:rPr>
                <w:color w:val="auto"/>
                <w:sz w:val="21"/>
                <w:szCs w:val="21"/>
              </w:rPr>
            </w:pPr>
            <w:r>
              <w:rPr>
                <w:rFonts w:hint="eastAsia"/>
                <w:color w:val="auto"/>
                <w:sz w:val="21"/>
                <w:szCs w:val="21"/>
              </w:rPr>
              <w:t>9.5</w:t>
            </w:r>
          </w:p>
        </w:tc>
        <w:tc>
          <w:tcPr>
            <w:tcW w:w="668" w:type="pct"/>
            <w:vAlign w:val="center"/>
          </w:tcPr>
          <w:p w14:paraId="01F68CEE">
            <w:pPr>
              <w:spacing w:line="240" w:lineRule="auto"/>
              <w:ind w:firstLine="0" w:firstLineChars="0"/>
              <w:jc w:val="center"/>
              <w:rPr>
                <w:color w:val="auto"/>
                <w:sz w:val="21"/>
                <w:szCs w:val="21"/>
              </w:rPr>
            </w:pPr>
            <w:r>
              <w:rPr>
                <w:rFonts w:hint="eastAsia"/>
                <w:color w:val="auto"/>
                <w:sz w:val="21"/>
                <w:szCs w:val="21"/>
              </w:rPr>
              <w:t>4.75</w:t>
            </w:r>
          </w:p>
        </w:tc>
        <w:tc>
          <w:tcPr>
            <w:tcW w:w="668" w:type="pct"/>
            <w:vAlign w:val="center"/>
          </w:tcPr>
          <w:p w14:paraId="537A329D">
            <w:pPr>
              <w:spacing w:line="240" w:lineRule="auto"/>
              <w:ind w:firstLine="0" w:firstLineChars="0"/>
              <w:jc w:val="center"/>
              <w:rPr>
                <w:color w:val="auto"/>
                <w:sz w:val="21"/>
                <w:szCs w:val="21"/>
              </w:rPr>
            </w:pPr>
            <w:r>
              <w:rPr>
                <w:rFonts w:hint="eastAsia"/>
                <w:color w:val="auto"/>
                <w:sz w:val="21"/>
                <w:szCs w:val="21"/>
              </w:rPr>
              <w:t>2.36</w:t>
            </w:r>
          </w:p>
        </w:tc>
        <w:tc>
          <w:tcPr>
            <w:tcW w:w="668" w:type="pct"/>
            <w:vAlign w:val="center"/>
          </w:tcPr>
          <w:p w14:paraId="4F1A1D21">
            <w:pPr>
              <w:spacing w:line="240" w:lineRule="auto"/>
              <w:ind w:firstLine="0" w:firstLineChars="0"/>
              <w:jc w:val="center"/>
              <w:rPr>
                <w:color w:val="auto"/>
                <w:sz w:val="21"/>
                <w:szCs w:val="21"/>
              </w:rPr>
            </w:pPr>
            <w:r>
              <w:rPr>
                <w:rFonts w:hint="eastAsia"/>
                <w:color w:val="auto"/>
                <w:sz w:val="21"/>
                <w:szCs w:val="21"/>
              </w:rPr>
              <w:t>1.18</w:t>
            </w:r>
          </w:p>
        </w:tc>
        <w:tc>
          <w:tcPr>
            <w:tcW w:w="668" w:type="pct"/>
            <w:vAlign w:val="center"/>
          </w:tcPr>
          <w:p w14:paraId="546E6AB6">
            <w:pPr>
              <w:spacing w:line="240" w:lineRule="auto"/>
              <w:ind w:firstLine="0" w:firstLineChars="0"/>
              <w:jc w:val="center"/>
              <w:rPr>
                <w:color w:val="auto"/>
                <w:sz w:val="21"/>
                <w:szCs w:val="21"/>
              </w:rPr>
            </w:pPr>
            <w:r>
              <w:rPr>
                <w:rFonts w:hint="eastAsia"/>
                <w:color w:val="auto"/>
                <w:sz w:val="21"/>
                <w:szCs w:val="21"/>
              </w:rPr>
              <w:t>0.60</w:t>
            </w:r>
          </w:p>
        </w:tc>
        <w:tc>
          <w:tcPr>
            <w:tcW w:w="668" w:type="pct"/>
            <w:vAlign w:val="center"/>
          </w:tcPr>
          <w:p w14:paraId="5D9E33D4">
            <w:pPr>
              <w:spacing w:line="240" w:lineRule="auto"/>
              <w:ind w:firstLine="0" w:firstLineChars="0"/>
              <w:jc w:val="center"/>
              <w:rPr>
                <w:color w:val="auto"/>
                <w:sz w:val="21"/>
                <w:szCs w:val="21"/>
              </w:rPr>
            </w:pPr>
            <w:r>
              <w:rPr>
                <w:rFonts w:hint="eastAsia"/>
                <w:color w:val="auto"/>
                <w:sz w:val="21"/>
                <w:szCs w:val="21"/>
              </w:rPr>
              <w:t>0.30</w:t>
            </w:r>
          </w:p>
        </w:tc>
        <w:tc>
          <w:tcPr>
            <w:tcW w:w="671" w:type="pct"/>
            <w:vAlign w:val="center"/>
          </w:tcPr>
          <w:p w14:paraId="171E2E25">
            <w:pPr>
              <w:spacing w:line="240" w:lineRule="auto"/>
              <w:ind w:firstLine="0" w:firstLineChars="0"/>
              <w:jc w:val="center"/>
              <w:rPr>
                <w:color w:val="auto"/>
                <w:sz w:val="21"/>
                <w:szCs w:val="21"/>
              </w:rPr>
            </w:pPr>
            <w:r>
              <w:rPr>
                <w:rFonts w:hint="eastAsia"/>
                <w:color w:val="auto"/>
                <w:sz w:val="21"/>
                <w:szCs w:val="21"/>
              </w:rPr>
              <w:t>0.15</w:t>
            </w:r>
          </w:p>
        </w:tc>
      </w:tr>
      <w:tr w14:paraId="6E28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390" w:type="pct"/>
            <w:vMerge w:val="continue"/>
            <w:vAlign w:val="center"/>
          </w:tcPr>
          <w:p w14:paraId="5B2165C7">
            <w:pPr>
              <w:spacing w:line="240" w:lineRule="auto"/>
              <w:ind w:firstLine="0" w:firstLineChars="0"/>
              <w:jc w:val="center"/>
              <w:rPr>
                <w:color w:val="auto"/>
                <w:sz w:val="21"/>
                <w:szCs w:val="21"/>
              </w:rPr>
            </w:pPr>
          </w:p>
        </w:tc>
        <w:tc>
          <w:tcPr>
            <w:tcW w:w="4610" w:type="pct"/>
            <w:gridSpan w:val="7"/>
            <w:vAlign w:val="center"/>
          </w:tcPr>
          <w:p w14:paraId="274F6EA9">
            <w:pPr>
              <w:pStyle w:val="187"/>
              <w:spacing w:beforeLines="0" w:line="240" w:lineRule="auto"/>
              <w:rPr>
                <w:rFonts w:ascii="Times New Roman" w:hAnsi="Times New Roman" w:eastAsia="宋体"/>
                <w:color w:val="auto"/>
                <w:spacing w:val="4"/>
                <w:kern w:val="0"/>
                <w:sz w:val="21"/>
                <w:szCs w:val="21"/>
              </w:rPr>
            </w:pPr>
            <w:r>
              <w:rPr>
                <w:rFonts w:hint="eastAsia" w:ascii="Times New Roman" w:hAnsi="Times New Roman" w:eastAsia="宋体"/>
                <w:color w:val="auto"/>
                <w:spacing w:val="4"/>
                <w:kern w:val="0"/>
                <w:sz w:val="21"/>
                <w:szCs w:val="21"/>
              </w:rPr>
              <w:t>累计筛余（以质量计）（％）</w:t>
            </w:r>
          </w:p>
        </w:tc>
      </w:tr>
      <w:tr w14:paraId="47B31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90" w:type="pct"/>
            <w:vAlign w:val="center"/>
          </w:tcPr>
          <w:p w14:paraId="1550F570">
            <w:pPr>
              <w:spacing w:line="240" w:lineRule="auto"/>
              <w:ind w:firstLine="0" w:firstLineChars="0"/>
              <w:jc w:val="center"/>
              <w:rPr>
                <w:color w:val="auto"/>
                <w:sz w:val="21"/>
                <w:szCs w:val="21"/>
              </w:rPr>
            </w:pPr>
            <w:r>
              <w:rPr>
                <w:rFonts w:hint="eastAsia"/>
                <w:color w:val="auto"/>
                <w:sz w:val="21"/>
                <w:szCs w:val="21"/>
              </w:rPr>
              <w:t>I级砂</w:t>
            </w:r>
          </w:p>
        </w:tc>
        <w:tc>
          <w:tcPr>
            <w:tcW w:w="597" w:type="pct"/>
            <w:vAlign w:val="center"/>
          </w:tcPr>
          <w:p w14:paraId="37531F59">
            <w:pPr>
              <w:spacing w:line="240" w:lineRule="auto"/>
              <w:ind w:firstLine="0" w:firstLineChars="0"/>
              <w:jc w:val="center"/>
              <w:rPr>
                <w:color w:val="auto"/>
                <w:sz w:val="21"/>
                <w:szCs w:val="21"/>
              </w:rPr>
            </w:pPr>
            <w:r>
              <w:rPr>
                <w:rFonts w:hint="eastAsia"/>
                <w:color w:val="auto"/>
                <w:sz w:val="21"/>
                <w:szCs w:val="21"/>
              </w:rPr>
              <w:t>100</w:t>
            </w:r>
          </w:p>
        </w:tc>
        <w:tc>
          <w:tcPr>
            <w:tcW w:w="668" w:type="pct"/>
            <w:vAlign w:val="center"/>
          </w:tcPr>
          <w:p w14:paraId="76E53A7E">
            <w:pPr>
              <w:spacing w:line="240" w:lineRule="auto"/>
              <w:ind w:firstLine="0" w:firstLineChars="0"/>
              <w:jc w:val="center"/>
              <w:rPr>
                <w:color w:val="auto"/>
                <w:sz w:val="21"/>
                <w:szCs w:val="21"/>
              </w:rPr>
            </w:pPr>
            <w:r>
              <w:rPr>
                <w:rFonts w:hint="eastAsia"/>
                <w:color w:val="auto"/>
                <w:sz w:val="21"/>
                <w:szCs w:val="21"/>
              </w:rPr>
              <w:t>90～100</w:t>
            </w:r>
          </w:p>
        </w:tc>
        <w:tc>
          <w:tcPr>
            <w:tcW w:w="668" w:type="pct"/>
            <w:vAlign w:val="center"/>
          </w:tcPr>
          <w:p w14:paraId="2E0E5C57">
            <w:pPr>
              <w:spacing w:line="240" w:lineRule="auto"/>
              <w:ind w:firstLine="0" w:firstLineChars="0"/>
              <w:jc w:val="center"/>
              <w:rPr>
                <w:color w:val="auto"/>
                <w:sz w:val="21"/>
                <w:szCs w:val="21"/>
              </w:rPr>
            </w:pPr>
            <w:r>
              <w:rPr>
                <w:rFonts w:hint="eastAsia"/>
                <w:color w:val="auto"/>
                <w:sz w:val="21"/>
                <w:szCs w:val="21"/>
              </w:rPr>
              <w:t>80～95</w:t>
            </w:r>
          </w:p>
        </w:tc>
        <w:tc>
          <w:tcPr>
            <w:tcW w:w="668" w:type="pct"/>
            <w:vAlign w:val="center"/>
          </w:tcPr>
          <w:p w14:paraId="522C7114">
            <w:pPr>
              <w:spacing w:line="240" w:lineRule="auto"/>
              <w:ind w:firstLine="0" w:firstLineChars="0"/>
              <w:jc w:val="center"/>
              <w:rPr>
                <w:color w:val="auto"/>
                <w:sz w:val="21"/>
                <w:szCs w:val="21"/>
              </w:rPr>
            </w:pPr>
            <w:r>
              <w:rPr>
                <w:rFonts w:hint="eastAsia"/>
                <w:color w:val="auto"/>
                <w:sz w:val="21"/>
                <w:szCs w:val="21"/>
              </w:rPr>
              <w:t>50～85</w:t>
            </w:r>
          </w:p>
        </w:tc>
        <w:tc>
          <w:tcPr>
            <w:tcW w:w="668" w:type="pct"/>
            <w:vAlign w:val="center"/>
          </w:tcPr>
          <w:p w14:paraId="41F73666">
            <w:pPr>
              <w:spacing w:line="240" w:lineRule="auto"/>
              <w:ind w:firstLine="0" w:firstLineChars="0"/>
              <w:jc w:val="center"/>
              <w:rPr>
                <w:color w:val="auto"/>
                <w:sz w:val="21"/>
                <w:szCs w:val="21"/>
              </w:rPr>
            </w:pPr>
            <w:r>
              <w:rPr>
                <w:rFonts w:hint="eastAsia"/>
                <w:color w:val="auto"/>
                <w:sz w:val="21"/>
                <w:szCs w:val="21"/>
              </w:rPr>
              <w:t>30～60</w:t>
            </w:r>
          </w:p>
        </w:tc>
        <w:tc>
          <w:tcPr>
            <w:tcW w:w="668" w:type="pct"/>
            <w:vAlign w:val="center"/>
          </w:tcPr>
          <w:p w14:paraId="54BFD1DB">
            <w:pPr>
              <w:spacing w:line="240" w:lineRule="auto"/>
              <w:ind w:firstLine="0" w:firstLineChars="0"/>
              <w:jc w:val="center"/>
              <w:rPr>
                <w:color w:val="auto"/>
                <w:sz w:val="21"/>
                <w:szCs w:val="21"/>
              </w:rPr>
            </w:pPr>
            <w:r>
              <w:rPr>
                <w:rFonts w:hint="eastAsia"/>
                <w:color w:val="auto"/>
                <w:sz w:val="21"/>
                <w:szCs w:val="21"/>
              </w:rPr>
              <w:t>10～20</w:t>
            </w:r>
          </w:p>
        </w:tc>
        <w:tc>
          <w:tcPr>
            <w:tcW w:w="671" w:type="pct"/>
            <w:vAlign w:val="center"/>
          </w:tcPr>
          <w:p w14:paraId="2E263951">
            <w:pPr>
              <w:spacing w:line="240" w:lineRule="auto"/>
              <w:ind w:firstLine="0" w:firstLineChars="0"/>
              <w:jc w:val="center"/>
              <w:rPr>
                <w:color w:val="auto"/>
                <w:sz w:val="21"/>
                <w:szCs w:val="21"/>
              </w:rPr>
            </w:pPr>
            <w:r>
              <w:rPr>
                <w:rFonts w:hint="eastAsia"/>
                <w:color w:val="auto"/>
                <w:sz w:val="21"/>
                <w:szCs w:val="21"/>
              </w:rPr>
              <w:t>0～10</w:t>
            </w:r>
          </w:p>
        </w:tc>
      </w:tr>
      <w:tr w14:paraId="0BD2D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390" w:type="pct"/>
            <w:vAlign w:val="center"/>
          </w:tcPr>
          <w:p w14:paraId="2AEEDFFB">
            <w:pPr>
              <w:spacing w:line="240" w:lineRule="auto"/>
              <w:ind w:firstLine="0" w:firstLineChars="0"/>
              <w:jc w:val="center"/>
              <w:rPr>
                <w:color w:val="auto"/>
                <w:sz w:val="21"/>
                <w:szCs w:val="21"/>
              </w:rPr>
            </w:pPr>
            <w:r>
              <w:rPr>
                <w:rFonts w:hint="eastAsia"/>
                <w:color w:val="auto"/>
                <w:sz w:val="21"/>
                <w:szCs w:val="21"/>
              </w:rPr>
              <w:t>Ⅱ、Ⅲ级砂</w:t>
            </w:r>
          </w:p>
        </w:tc>
        <w:tc>
          <w:tcPr>
            <w:tcW w:w="597" w:type="pct"/>
            <w:vAlign w:val="center"/>
          </w:tcPr>
          <w:p w14:paraId="1E76B3C7">
            <w:pPr>
              <w:spacing w:line="240" w:lineRule="auto"/>
              <w:ind w:firstLine="0" w:firstLineChars="0"/>
              <w:jc w:val="center"/>
              <w:rPr>
                <w:color w:val="auto"/>
                <w:sz w:val="21"/>
                <w:szCs w:val="21"/>
              </w:rPr>
            </w:pPr>
            <w:r>
              <w:rPr>
                <w:rFonts w:hint="eastAsia"/>
                <w:color w:val="auto"/>
                <w:sz w:val="21"/>
                <w:szCs w:val="21"/>
              </w:rPr>
              <w:t>100</w:t>
            </w:r>
          </w:p>
        </w:tc>
        <w:tc>
          <w:tcPr>
            <w:tcW w:w="668" w:type="pct"/>
            <w:vAlign w:val="center"/>
          </w:tcPr>
          <w:p w14:paraId="20E1285B">
            <w:pPr>
              <w:spacing w:line="240" w:lineRule="auto"/>
              <w:ind w:firstLine="0" w:firstLineChars="0"/>
              <w:jc w:val="center"/>
              <w:rPr>
                <w:color w:val="auto"/>
                <w:sz w:val="21"/>
                <w:szCs w:val="21"/>
              </w:rPr>
            </w:pPr>
            <w:r>
              <w:rPr>
                <w:rFonts w:hint="eastAsia"/>
                <w:color w:val="auto"/>
                <w:sz w:val="21"/>
                <w:szCs w:val="21"/>
              </w:rPr>
              <w:t>90～100</w:t>
            </w:r>
          </w:p>
        </w:tc>
        <w:tc>
          <w:tcPr>
            <w:tcW w:w="668" w:type="pct"/>
            <w:vAlign w:val="center"/>
          </w:tcPr>
          <w:p w14:paraId="09639C46">
            <w:pPr>
              <w:spacing w:line="240" w:lineRule="auto"/>
              <w:ind w:firstLine="0" w:firstLineChars="0"/>
              <w:jc w:val="center"/>
              <w:rPr>
                <w:color w:val="auto"/>
                <w:sz w:val="21"/>
                <w:szCs w:val="21"/>
              </w:rPr>
            </w:pPr>
            <w:r>
              <w:rPr>
                <w:rFonts w:hint="eastAsia"/>
                <w:color w:val="auto"/>
                <w:sz w:val="21"/>
                <w:szCs w:val="21"/>
              </w:rPr>
              <w:t>50～92</w:t>
            </w:r>
          </w:p>
        </w:tc>
        <w:tc>
          <w:tcPr>
            <w:tcW w:w="668" w:type="pct"/>
            <w:vAlign w:val="center"/>
          </w:tcPr>
          <w:p w14:paraId="68B47D1B">
            <w:pPr>
              <w:spacing w:line="240" w:lineRule="auto"/>
              <w:ind w:firstLine="0" w:firstLineChars="0"/>
              <w:jc w:val="center"/>
              <w:rPr>
                <w:color w:val="auto"/>
                <w:sz w:val="21"/>
                <w:szCs w:val="21"/>
              </w:rPr>
            </w:pPr>
            <w:r>
              <w:rPr>
                <w:rFonts w:hint="eastAsia"/>
                <w:color w:val="auto"/>
                <w:sz w:val="21"/>
                <w:szCs w:val="21"/>
              </w:rPr>
              <w:t>30～65</w:t>
            </w:r>
          </w:p>
        </w:tc>
        <w:tc>
          <w:tcPr>
            <w:tcW w:w="668" w:type="pct"/>
            <w:vAlign w:val="center"/>
          </w:tcPr>
          <w:p w14:paraId="566A7726">
            <w:pPr>
              <w:spacing w:line="240" w:lineRule="auto"/>
              <w:ind w:firstLine="0" w:firstLineChars="0"/>
              <w:jc w:val="center"/>
              <w:rPr>
                <w:color w:val="auto"/>
                <w:sz w:val="21"/>
                <w:szCs w:val="21"/>
              </w:rPr>
            </w:pPr>
            <w:r>
              <w:rPr>
                <w:rFonts w:hint="eastAsia"/>
                <w:color w:val="auto"/>
                <w:sz w:val="21"/>
                <w:szCs w:val="21"/>
              </w:rPr>
              <w:t>15～29</w:t>
            </w:r>
          </w:p>
        </w:tc>
        <w:tc>
          <w:tcPr>
            <w:tcW w:w="668" w:type="pct"/>
            <w:vAlign w:val="center"/>
          </w:tcPr>
          <w:p w14:paraId="466BAE90">
            <w:pPr>
              <w:spacing w:line="240" w:lineRule="auto"/>
              <w:ind w:firstLine="0" w:firstLineChars="0"/>
              <w:jc w:val="center"/>
              <w:rPr>
                <w:color w:val="auto"/>
                <w:sz w:val="21"/>
                <w:szCs w:val="21"/>
              </w:rPr>
            </w:pPr>
            <w:r>
              <w:rPr>
                <w:rFonts w:hint="eastAsia"/>
                <w:color w:val="auto"/>
                <w:sz w:val="21"/>
                <w:szCs w:val="21"/>
              </w:rPr>
              <w:t>5～25</w:t>
            </w:r>
          </w:p>
        </w:tc>
        <w:tc>
          <w:tcPr>
            <w:tcW w:w="671" w:type="pct"/>
            <w:vAlign w:val="center"/>
          </w:tcPr>
          <w:p w14:paraId="7D9BDF80">
            <w:pPr>
              <w:spacing w:line="240" w:lineRule="auto"/>
              <w:ind w:firstLine="0" w:firstLineChars="0"/>
              <w:jc w:val="center"/>
              <w:rPr>
                <w:color w:val="auto"/>
                <w:sz w:val="21"/>
                <w:szCs w:val="21"/>
              </w:rPr>
            </w:pPr>
            <w:r>
              <w:rPr>
                <w:rFonts w:hint="eastAsia"/>
                <w:color w:val="auto"/>
                <w:sz w:val="21"/>
                <w:szCs w:val="21"/>
              </w:rPr>
              <w:t>0～10</w:t>
            </w:r>
          </w:p>
        </w:tc>
      </w:tr>
    </w:tbl>
    <w:p w14:paraId="68BBF8BA">
      <w:pPr>
        <w:ind w:firstLine="480"/>
        <w:rPr>
          <w:color w:val="auto"/>
        </w:rPr>
      </w:pPr>
      <w:r>
        <w:rPr>
          <w:rFonts w:hint="eastAsia"/>
          <w:color w:val="auto"/>
        </w:rPr>
        <w:t>D、水</w:t>
      </w:r>
    </w:p>
    <w:p w14:paraId="1F2EFE17">
      <w:pPr>
        <w:ind w:firstLine="480"/>
        <w:rPr>
          <w:color w:val="auto"/>
        </w:rPr>
      </w:pPr>
      <w:r>
        <w:rPr>
          <w:rFonts w:hint="eastAsia"/>
          <w:color w:val="auto"/>
        </w:rPr>
        <w:t>饮用水可直接作为混凝土搅拌和养护用水。对水质有质疑时，必须检验合格方可使用。</w:t>
      </w:r>
    </w:p>
    <w:p w14:paraId="02E5819D">
      <w:pPr>
        <w:ind w:firstLine="480"/>
        <w:rPr>
          <w:color w:val="auto"/>
        </w:rPr>
      </w:pPr>
      <w:r>
        <w:rPr>
          <w:rFonts w:hint="eastAsia"/>
          <w:color w:val="auto"/>
        </w:rPr>
        <w:t>E、外加剂</w:t>
      </w:r>
    </w:p>
    <w:p w14:paraId="172FBD71">
      <w:pPr>
        <w:ind w:firstLine="480"/>
        <w:rPr>
          <w:color w:val="auto"/>
        </w:rPr>
      </w:pPr>
      <w:r>
        <w:rPr>
          <w:rFonts w:hint="eastAsia"/>
          <w:color w:val="auto"/>
        </w:rPr>
        <w:t>外加剂的产品质量及掺量应符合《公路水泥混凝土路面施工技术细则》(</w:t>
      </w:r>
      <w:r>
        <w:rPr>
          <w:color w:val="auto"/>
        </w:rPr>
        <w:t>JTG</w:t>
      </w:r>
      <w:r>
        <w:rPr>
          <w:rFonts w:hint="eastAsia"/>
          <w:color w:val="auto"/>
        </w:rPr>
        <w:t>/</w:t>
      </w:r>
      <w:r>
        <w:rPr>
          <w:color w:val="auto"/>
        </w:rPr>
        <w:t>T F30-2014</w:t>
      </w:r>
      <w:r>
        <w:rPr>
          <w:rFonts w:hint="eastAsia"/>
          <w:color w:val="auto"/>
        </w:rPr>
        <w:t>)表3.6.1表的规定。供应商提供且有相应资质的检测机构认定的品质检测报告，检验报告应说明外加剂的主要化学成分，对钢筋无锈蚀、对混凝土无腐蚀和对人员无毒副作用。要经过配合比试验其额定其品种质量和剂量。所有外加剂的使用均应得到监理工程师批准。</w:t>
      </w:r>
    </w:p>
    <w:p w14:paraId="36AB6BB6">
      <w:pPr>
        <w:ind w:firstLine="480"/>
        <w:rPr>
          <w:color w:val="auto"/>
        </w:rPr>
      </w:pPr>
      <w:r>
        <w:rPr>
          <w:rFonts w:hint="eastAsia"/>
          <w:color w:val="auto"/>
        </w:rPr>
        <w:t>F、钢筋</w:t>
      </w:r>
    </w:p>
    <w:p w14:paraId="0871A8D9">
      <w:pPr>
        <w:ind w:firstLine="480"/>
        <w:rPr>
          <w:color w:val="auto"/>
        </w:rPr>
      </w:pPr>
      <w:r>
        <w:rPr>
          <w:rFonts w:hint="eastAsia"/>
          <w:color w:val="auto"/>
        </w:rPr>
        <w:t>钢筋符合图纸和《钢筋混凝土用钢 第1部分：热轧光圆钢筋》（GB/T 1499.1-2017）和《钢筋混凝土用钢 第2部分：热轧带肋钢筋》（GB/T 1499.1-2018）的要求。钢筋应顺直，不得有裂缝、断伤、刻痕，表面油污和颗粒状或片状锈蚀应清除。</w:t>
      </w:r>
    </w:p>
    <w:p w14:paraId="059EBA1D">
      <w:pPr>
        <w:ind w:firstLine="480"/>
        <w:rPr>
          <w:color w:val="auto"/>
        </w:rPr>
      </w:pPr>
      <w:r>
        <w:rPr>
          <w:rFonts w:hint="eastAsia"/>
          <w:color w:val="auto"/>
        </w:rPr>
        <w:t>G、抗滑性能</w:t>
      </w:r>
    </w:p>
    <w:p w14:paraId="64338430">
      <w:pPr>
        <w:ind w:firstLine="480"/>
        <w:rPr>
          <w:color w:val="auto"/>
        </w:rPr>
      </w:pPr>
      <w:r>
        <w:rPr>
          <w:rFonts w:hint="eastAsia"/>
          <w:color w:val="auto"/>
        </w:rPr>
        <w:t>水泥混凝土路面抗滑性能在质量验收时，应满足下表要求：</w:t>
      </w:r>
    </w:p>
    <w:p w14:paraId="4041C119">
      <w:pPr>
        <w:spacing w:before="80"/>
        <w:ind w:firstLine="482"/>
        <w:jc w:val="center"/>
        <w:rPr>
          <w:b/>
          <w:color w:val="auto"/>
          <w:szCs w:val="21"/>
        </w:rPr>
      </w:pPr>
      <w:r>
        <w:rPr>
          <w:rFonts w:hint="eastAsia"/>
          <w:b/>
          <w:color w:val="auto"/>
          <w:szCs w:val="21"/>
        </w:rPr>
        <w:t>水泥混凝土面层表面构造深度要求</w:t>
      </w:r>
    </w:p>
    <w:tbl>
      <w:tblPr>
        <w:tblStyle w:val="89"/>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1"/>
        <w:gridCol w:w="2560"/>
        <w:gridCol w:w="2693"/>
      </w:tblGrid>
      <w:tr w14:paraId="42DC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14:paraId="71CB9E85">
            <w:pPr>
              <w:ind w:firstLine="0" w:firstLineChars="0"/>
              <w:jc w:val="center"/>
              <w:rPr>
                <w:color w:val="auto"/>
              </w:rPr>
            </w:pPr>
            <w:r>
              <w:rPr>
                <w:rFonts w:hint="eastAsia"/>
                <w:color w:val="auto"/>
              </w:rPr>
              <w:t>道路等级</w:t>
            </w:r>
          </w:p>
        </w:tc>
        <w:tc>
          <w:tcPr>
            <w:tcW w:w="2560" w:type="dxa"/>
            <w:vAlign w:val="center"/>
          </w:tcPr>
          <w:p w14:paraId="1AE16DB5">
            <w:pPr>
              <w:ind w:firstLine="0" w:firstLineChars="0"/>
              <w:jc w:val="center"/>
              <w:rPr>
                <w:color w:val="auto"/>
              </w:rPr>
            </w:pPr>
            <w:r>
              <w:rPr>
                <w:rFonts w:hint="eastAsia"/>
                <w:color w:val="auto"/>
              </w:rPr>
              <w:t>快速路、主干路</w:t>
            </w:r>
          </w:p>
        </w:tc>
        <w:tc>
          <w:tcPr>
            <w:tcW w:w="2693" w:type="dxa"/>
            <w:vAlign w:val="center"/>
          </w:tcPr>
          <w:p w14:paraId="62EADBA1">
            <w:pPr>
              <w:ind w:firstLine="0" w:firstLineChars="0"/>
              <w:jc w:val="center"/>
              <w:rPr>
                <w:color w:val="auto"/>
              </w:rPr>
            </w:pPr>
            <w:r>
              <w:rPr>
                <w:rFonts w:hint="eastAsia"/>
                <w:color w:val="auto"/>
              </w:rPr>
              <w:t>次干路、支路</w:t>
            </w:r>
          </w:p>
        </w:tc>
      </w:tr>
      <w:tr w14:paraId="52B9C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14:paraId="76023315">
            <w:pPr>
              <w:ind w:firstLine="0" w:firstLineChars="0"/>
              <w:jc w:val="center"/>
              <w:rPr>
                <w:color w:val="auto"/>
              </w:rPr>
            </w:pPr>
            <w:r>
              <w:rPr>
                <w:rFonts w:hint="eastAsia"/>
                <w:color w:val="auto"/>
              </w:rPr>
              <w:t>一般路段（mm）</w:t>
            </w:r>
          </w:p>
        </w:tc>
        <w:tc>
          <w:tcPr>
            <w:tcW w:w="2560" w:type="dxa"/>
            <w:vAlign w:val="center"/>
          </w:tcPr>
          <w:p w14:paraId="137251CB">
            <w:pPr>
              <w:ind w:firstLine="0" w:firstLineChars="0"/>
              <w:jc w:val="center"/>
              <w:rPr>
                <w:color w:val="auto"/>
              </w:rPr>
            </w:pPr>
            <w:r>
              <w:rPr>
                <w:rFonts w:hint="eastAsia"/>
                <w:color w:val="auto"/>
              </w:rPr>
              <w:t>0</w:t>
            </w:r>
            <w:r>
              <w:rPr>
                <w:color w:val="auto"/>
              </w:rPr>
              <w:t>.70~1.10</w:t>
            </w:r>
          </w:p>
        </w:tc>
        <w:tc>
          <w:tcPr>
            <w:tcW w:w="2693" w:type="dxa"/>
            <w:vAlign w:val="center"/>
          </w:tcPr>
          <w:p w14:paraId="3CF7A880">
            <w:pPr>
              <w:ind w:firstLine="0" w:firstLineChars="0"/>
              <w:jc w:val="center"/>
              <w:rPr>
                <w:color w:val="auto"/>
              </w:rPr>
            </w:pPr>
            <w:r>
              <w:rPr>
                <w:rFonts w:hint="eastAsia"/>
                <w:color w:val="auto"/>
              </w:rPr>
              <w:t>0</w:t>
            </w:r>
            <w:r>
              <w:rPr>
                <w:color w:val="auto"/>
              </w:rPr>
              <w:t>.50~0.90</w:t>
            </w:r>
          </w:p>
        </w:tc>
      </w:tr>
      <w:tr w14:paraId="0598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1" w:type="dxa"/>
            <w:vAlign w:val="center"/>
          </w:tcPr>
          <w:p w14:paraId="465FCFF4">
            <w:pPr>
              <w:ind w:firstLine="0" w:firstLineChars="0"/>
              <w:jc w:val="center"/>
              <w:rPr>
                <w:color w:val="auto"/>
              </w:rPr>
            </w:pPr>
            <w:r>
              <w:rPr>
                <w:rFonts w:hint="eastAsia"/>
                <w:color w:val="auto"/>
              </w:rPr>
              <w:t>特殊路段（mm）</w:t>
            </w:r>
          </w:p>
        </w:tc>
        <w:tc>
          <w:tcPr>
            <w:tcW w:w="2560" w:type="dxa"/>
            <w:vAlign w:val="center"/>
          </w:tcPr>
          <w:p w14:paraId="79907EDD">
            <w:pPr>
              <w:ind w:firstLine="0" w:firstLineChars="0"/>
              <w:jc w:val="center"/>
              <w:rPr>
                <w:color w:val="auto"/>
              </w:rPr>
            </w:pPr>
            <w:r>
              <w:rPr>
                <w:rFonts w:hint="eastAsia"/>
                <w:color w:val="auto"/>
              </w:rPr>
              <w:t>0</w:t>
            </w:r>
            <w:r>
              <w:rPr>
                <w:color w:val="auto"/>
              </w:rPr>
              <w:t>.80~1.20</w:t>
            </w:r>
          </w:p>
        </w:tc>
        <w:tc>
          <w:tcPr>
            <w:tcW w:w="2693" w:type="dxa"/>
            <w:vAlign w:val="center"/>
          </w:tcPr>
          <w:p w14:paraId="1B793B1E">
            <w:pPr>
              <w:ind w:firstLine="0" w:firstLineChars="0"/>
              <w:jc w:val="center"/>
              <w:rPr>
                <w:color w:val="auto"/>
              </w:rPr>
            </w:pPr>
            <w:r>
              <w:rPr>
                <w:rFonts w:hint="eastAsia"/>
                <w:color w:val="auto"/>
              </w:rPr>
              <w:t>0</w:t>
            </w:r>
            <w:r>
              <w:rPr>
                <w:color w:val="auto"/>
              </w:rPr>
              <w:t>.60~1.00</w:t>
            </w:r>
          </w:p>
        </w:tc>
      </w:tr>
    </w:tbl>
    <w:p w14:paraId="4395C89C">
      <w:pPr>
        <w:pStyle w:val="3"/>
        <w:numPr>
          <w:ilvl w:val="0"/>
          <w:numId w:val="16"/>
        </w:numPr>
        <w:bidi w:val="0"/>
        <w:ind w:firstLine="198"/>
        <w:rPr>
          <w:rFonts w:hint="eastAsia" w:ascii="宋体" w:hAnsi="宋体"/>
          <w:b/>
          <w:color w:val="FF0000"/>
          <w:lang w:val="en-US" w:eastAsia="zh-CN"/>
        </w:rPr>
      </w:pPr>
      <w:r>
        <w:rPr>
          <w:rFonts w:hint="eastAsia" w:ascii="宋体" w:hAnsi="宋体"/>
          <w:b/>
          <w:color w:val="FF0000"/>
          <w:lang w:val="en-US" w:eastAsia="zh-CN"/>
        </w:rPr>
        <w:t>人行道铺装结构技术要求</w:t>
      </w:r>
    </w:p>
    <w:p w14:paraId="76DA1F85">
      <w:pPr>
        <w:widowControl/>
        <w:ind w:firstLine="0" w:firstLineChars="0"/>
        <w:jc w:val="left"/>
        <w:rPr>
          <w:rFonts w:hint="default" w:eastAsia="宋体"/>
          <w:color w:val="FF0000"/>
          <w:lang w:val="en-US" w:eastAsia="zh-CN"/>
        </w:rPr>
      </w:pPr>
      <w:r>
        <w:rPr>
          <w:rFonts w:hint="eastAsia"/>
          <w:color w:val="FF0000"/>
          <w:lang w:val="en-US" w:eastAsia="zh-CN"/>
        </w:rPr>
        <w:t>1、透水人行道砖</w:t>
      </w:r>
    </w:p>
    <w:p w14:paraId="349C8695">
      <w:pPr>
        <w:ind w:firstLine="480"/>
        <w:rPr>
          <w:color w:val="FF0000"/>
        </w:rPr>
      </w:pPr>
      <w:r>
        <w:rPr>
          <w:rFonts w:hint="eastAsia"/>
          <w:color w:val="FF0000"/>
        </w:rPr>
        <w:t>人行道的混凝土透水砖材料要求人行道铺装面层应平顺、抗滑、耐磨、美观，表面应平整，边角齐全，厚度均匀，色泽一致。混凝土透水砖：耐磨性（磨坑长度）≤35m、渗水系数≥0.01cm/s、抗压强度≥Cc40，抗折强度≥Cf5.0，防滑等级为R3 级。</w:t>
      </w:r>
    </w:p>
    <w:p w14:paraId="2ECEFDCD">
      <w:pPr>
        <w:widowControl/>
        <w:ind w:firstLine="0" w:firstLineChars="0"/>
        <w:jc w:val="left"/>
        <w:rPr>
          <w:rFonts w:hint="default" w:eastAsia="宋体"/>
          <w:color w:val="FF0000"/>
          <w:lang w:val="en-US" w:eastAsia="zh-CN"/>
        </w:rPr>
      </w:pPr>
      <w:r>
        <w:rPr>
          <w:rFonts w:hint="eastAsia"/>
          <w:color w:val="FF0000"/>
          <w:lang w:val="en-US" w:eastAsia="zh-CN"/>
        </w:rPr>
        <w:t>2、透水混凝土</w:t>
      </w:r>
    </w:p>
    <w:p w14:paraId="085035EE">
      <w:pPr>
        <w:widowControl/>
        <w:ind w:firstLine="0" w:firstLineChars="0"/>
        <w:jc w:val="left"/>
        <w:rPr>
          <w:color w:val="FF0000"/>
        </w:rPr>
      </w:pPr>
      <w:r>
        <w:rPr>
          <w:rFonts w:hint="eastAsia"/>
          <w:color w:val="FF0000"/>
        </w:rPr>
        <w:t>1）材料要求</w:t>
      </w:r>
    </w:p>
    <w:p w14:paraId="0831A2B0">
      <w:pPr>
        <w:ind w:firstLine="480"/>
        <w:rPr>
          <w:color w:val="FF0000"/>
        </w:rPr>
      </w:pPr>
      <w:r>
        <w:rPr>
          <w:rFonts w:hint="eastAsia"/>
          <w:color w:val="FF0000"/>
        </w:rPr>
        <w:t>①水泥：P.O 42.5 普通硅酸盐水泥</w:t>
      </w:r>
    </w:p>
    <w:p w14:paraId="733AE864">
      <w:pPr>
        <w:ind w:firstLine="480"/>
        <w:rPr>
          <w:color w:val="FF0000"/>
        </w:rPr>
      </w:pPr>
      <w:r>
        <w:rPr>
          <w:rFonts w:hint="eastAsia"/>
          <w:color w:val="FF0000"/>
        </w:rPr>
        <w:t>②粗骨料</w:t>
      </w:r>
      <w:r>
        <w:rPr>
          <w:rFonts w:hint="eastAsia" w:ascii="宋体" w:hAnsi="宋体"/>
          <w:color w:val="FF0000"/>
          <w:szCs w:val="24"/>
        </w:rPr>
        <w:t>碎石</w:t>
      </w:r>
      <w:r>
        <w:rPr>
          <w:rFonts w:hint="eastAsia"/>
          <w:color w:val="FF0000"/>
        </w:rPr>
        <w:t>：上面层用6-8mm 粒径碎石，下面层用l0-25mm 粒径。碎石堆积密度1450-1650kg／m3，针片状颗粒≤5％，压碎指标&lt;6％，含泥量&lt;1％。</w:t>
      </w:r>
    </w:p>
    <w:p w14:paraId="35F235D8">
      <w:pPr>
        <w:ind w:firstLine="480"/>
        <w:rPr>
          <w:color w:val="FF0000"/>
        </w:rPr>
      </w:pPr>
      <w:r>
        <w:rPr>
          <w:rFonts w:hint="eastAsia"/>
          <w:color w:val="FF0000"/>
        </w:rPr>
        <w:t>③ 其它配套材料要求： 水用普通自来水； 加强剂( 矿物掺合料) 符合GB/T18736—2002；稳定剂：主要指标应满足：氨含量≤0．1，抗压强度比≥85％(28d)，压力沁水率≤95％；双丙聚氨酯密封胶：双组分，固体份&gt;40%，进口固化剂，符合国家标准技术要求。透水混凝土颜料为原色，无机耐候颜料应满足GB/T 1863-2008要求。</w:t>
      </w:r>
    </w:p>
    <w:p w14:paraId="693690F4">
      <w:pPr>
        <w:widowControl/>
        <w:ind w:firstLine="0" w:firstLineChars="0"/>
        <w:jc w:val="left"/>
        <w:rPr>
          <w:color w:val="FF0000"/>
        </w:rPr>
      </w:pPr>
      <w:r>
        <w:rPr>
          <w:rFonts w:hint="eastAsia"/>
          <w:color w:val="FF0000"/>
        </w:rPr>
        <w:t>2）施工要求</w:t>
      </w:r>
    </w:p>
    <w:p w14:paraId="6D63D467">
      <w:pPr>
        <w:ind w:firstLine="480"/>
        <w:rPr>
          <w:color w:val="FF0000"/>
        </w:rPr>
      </w:pPr>
      <w:r>
        <w:rPr>
          <w:rFonts w:hint="eastAsia"/>
          <w:color w:val="FF0000"/>
        </w:rPr>
        <w:t>①严格控制水灰比，即控制水的加入量，水在搅拌中分2-3 次加入，不允许一次性加入。</w:t>
      </w:r>
    </w:p>
    <w:p w14:paraId="29D8659C">
      <w:pPr>
        <w:ind w:firstLine="480"/>
        <w:rPr>
          <w:color w:val="FF0000"/>
        </w:rPr>
      </w:pPr>
      <w:r>
        <w:rPr>
          <w:rFonts w:hint="eastAsia"/>
          <w:color w:val="FF0000"/>
        </w:rPr>
        <w:t>②为使物料搅拌均匀，适当延长机械搅拌时间，但不宜过长，运输一般控制在10 分钟以内。</w:t>
      </w:r>
    </w:p>
    <w:p w14:paraId="6DBEE49D">
      <w:pPr>
        <w:ind w:firstLine="480"/>
        <w:rPr>
          <w:color w:val="FF0000"/>
        </w:rPr>
      </w:pPr>
      <w:r>
        <w:rPr>
          <w:rFonts w:hint="eastAsia"/>
          <w:color w:val="FF0000"/>
        </w:rPr>
        <w:t>③因透水</w:t>
      </w:r>
      <w:r>
        <w:rPr>
          <w:rFonts w:hint="eastAsia" w:ascii="宋体" w:hAnsi="宋体"/>
          <w:color w:val="FF0000"/>
          <w:szCs w:val="24"/>
        </w:rPr>
        <w:t>混凝土</w:t>
      </w:r>
      <w:r>
        <w:rPr>
          <w:rFonts w:hint="eastAsia"/>
          <w:color w:val="FF0000"/>
        </w:rPr>
        <w:t>其孔隙率大，水份散失快，当天气温高于35℃时，施工时间应宜避开中午，适合在早晚进行施工。</w:t>
      </w:r>
    </w:p>
    <w:p w14:paraId="4F555E29">
      <w:pPr>
        <w:ind w:firstLine="480"/>
        <w:rPr>
          <w:color w:val="FF0000"/>
        </w:rPr>
      </w:pPr>
      <w:r>
        <w:rPr>
          <w:rFonts w:hint="eastAsia"/>
          <w:color w:val="FF0000"/>
        </w:rPr>
        <w:t>④缩缝设置：</w:t>
      </w:r>
      <w:r>
        <w:rPr>
          <w:rFonts w:hint="eastAsia" w:ascii="宋体" w:hAnsi="宋体"/>
          <w:color w:val="FF0000"/>
          <w:szCs w:val="24"/>
        </w:rPr>
        <w:t>采用</w:t>
      </w:r>
      <w:r>
        <w:rPr>
          <w:rFonts w:hint="eastAsia"/>
          <w:color w:val="FF0000"/>
        </w:rPr>
        <w:t>切割方式，每5m 割2mm 宽通缝（贯通基层），缝内注双丙聚氨酯。</w:t>
      </w:r>
    </w:p>
    <w:p w14:paraId="190A1FF1">
      <w:pPr>
        <w:ind w:firstLine="480"/>
        <w:rPr>
          <w:color w:val="FF0000"/>
        </w:rPr>
      </w:pPr>
      <w:r>
        <w:rPr>
          <w:rFonts w:hint="eastAsia"/>
          <w:color w:val="FF0000"/>
        </w:rPr>
        <w:t>⑤养生：透水</w:t>
      </w:r>
      <w:r>
        <w:rPr>
          <w:rFonts w:hint="eastAsia" w:ascii="宋体" w:hAnsi="宋体"/>
          <w:color w:val="FF0000"/>
          <w:szCs w:val="24"/>
        </w:rPr>
        <w:t>混凝土</w:t>
      </w:r>
      <w:r>
        <w:rPr>
          <w:rFonts w:hint="eastAsia"/>
          <w:color w:val="FF0000"/>
        </w:rPr>
        <w:t>与水泥混凝土属性类似，在浇注后1 天开始洒水养护，高温时在8 小时后开始养护。养生时间应根据施工温度而定，一般养生期为14—21 天。</w:t>
      </w:r>
    </w:p>
    <w:p w14:paraId="34781A3F">
      <w:pPr>
        <w:ind w:firstLine="480"/>
        <w:rPr>
          <w:color w:val="FF0000"/>
        </w:rPr>
      </w:pPr>
      <w:r>
        <w:rPr>
          <w:rFonts w:hint="eastAsia"/>
          <w:color w:val="FF0000"/>
        </w:rPr>
        <w:t>⑥涂覆透明封闭剂：待表面混凝土成型干燥后在3天左右，涂刷透明封闭剂，增强耐久性和美观性。防止时间过会使透水混凝土孔隙受污而堵塞孔隙。</w:t>
      </w:r>
    </w:p>
    <w:p w14:paraId="03F2C64D">
      <w:pPr>
        <w:widowControl/>
        <w:ind w:firstLine="0" w:firstLineChars="0"/>
        <w:jc w:val="left"/>
        <w:rPr>
          <w:color w:val="FF0000"/>
        </w:rPr>
      </w:pPr>
      <w:r>
        <w:rPr>
          <w:rFonts w:hint="eastAsia"/>
          <w:color w:val="FF0000"/>
        </w:rPr>
        <w:t>3）质量检验要求</w:t>
      </w:r>
    </w:p>
    <w:p w14:paraId="13AE1892">
      <w:pPr>
        <w:ind w:firstLine="480"/>
        <w:rPr>
          <w:color w:val="FF0000"/>
        </w:rPr>
      </w:pPr>
      <w:r>
        <w:rPr>
          <w:rFonts w:hint="eastAsia"/>
          <w:color w:val="FF0000"/>
        </w:rPr>
        <w:t>透水混凝土质量检验内容包括：表面平整度、强度、厚度、透水性、冻融循环等。质量应满足如下要求：</w:t>
      </w:r>
    </w:p>
    <w:p w14:paraId="18F14D0B">
      <w:pPr>
        <w:ind w:firstLine="480"/>
        <w:rPr>
          <w:color w:val="FF0000"/>
        </w:rPr>
      </w:pPr>
      <w:r>
        <w:rPr>
          <w:rFonts w:hint="eastAsia"/>
          <w:color w:val="FF0000"/>
        </w:rPr>
        <w:t>1 透水混凝土按</w:t>
      </w:r>
      <w:r>
        <w:rPr>
          <w:rFonts w:hint="eastAsia" w:ascii="宋体" w:hAnsi="宋体"/>
          <w:color w:val="FF0000"/>
          <w:szCs w:val="24"/>
        </w:rPr>
        <w:t>立方体</w:t>
      </w:r>
      <w:r>
        <w:rPr>
          <w:rFonts w:hint="eastAsia"/>
          <w:color w:val="FF0000"/>
        </w:rPr>
        <w:t>抗压强度标准值为C</w:t>
      </w:r>
      <w:r>
        <w:rPr>
          <w:rFonts w:hint="eastAsia"/>
          <w:color w:val="FF0000"/>
          <w:lang w:val="en-US" w:eastAsia="zh-CN"/>
        </w:rPr>
        <w:t>20</w:t>
      </w:r>
      <w:r>
        <w:rPr>
          <w:rFonts w:hint="eastAsia"/>
          <w:color w:val="FF0000"/>
        </w:rPr>
        <w:t xml:space="preserve"> 强度等级，强度不低于设计要求。</w:t>
      </w:r>
    </w:p>
    <w:p w14:paraId="7C2554B7">
      <w:pPr>
        <w:ind w:firstLine="480"/>
        <w:rPr>
          <w:color w:val="FF0000"/>
        </w:rPr>
      </w:pPr>
      <w:r>
        <w:rPr>
          <w:rFonts w:hint="eastAsia"/>
          <w:color w:val="FF0000"/>
        </w:rPr>
        <w:t>②透水混凝土的</w:t>
      </w:r>
      <w:r>
        <w:rPr>
          <w:rFonts w:hint="eastAsia" w:ascii="宋体" w:hAnsi="宋体"/>
          <w:color w:val="FF0000"/>
          <w:szCs w:val="24"/>
        </w:rPr>
        <w:t>孔隙率</w:t>
      </w:r>
      <w:r>
        <w:rPr>
          <w:rFonts w:hint="eastAsia"/>
          <w:color w:val="FF0000"/>
        </w:rPr>
        <w:t>不得小于15％，透水系数2.0---4．5mm／s。</w:t>
      </w:r>
    </w:p>
    <w:p w14:paraId="3F2FF9C0">
      <w:pPr>
        <w:ind w:firstLine="480"/>
        <w:rPr>
          <w:color w:val="FF0000"/>
        </w:rPr>
      </w:pPr>
      <w:r>
        <w:rPr>
          <w:rFonts w:hint="eastAsia"/>
          <w:color w:val="FF0000"/>
        </w:rPr>
        <w:t>③透水混凝土的</w:t>
      </w:r>
      <w:r>
        <w:rPr>
          <w:rFonts w:hint="eastAsia" w:ascii="宋体" w:hAnsi="宋体"/>
          <w:color w:val="FF0000"/>
          <w:szCs w:val="24"/>
        </w:rPr>
        <w:t>稠度</w:t>
      </w:r>
      <w:r>
        <w:rPr>
          <w:rFonts w:hint="eastAsia"/>
          <w:color w:val="FF0000"/>
        </w:rPr>
        <w:t>以坍落度表示，透水混凝土的坍落度不宜大于20mm。</w:t>
      </w:r>
    </w:p>
    <w:p w14:paraId="2E8D0B99">
      <w:pPr>
        <w:ind w:firstLine="480"/>
        <w:rPr>
          <w:color w:val="FF0000"/>
        </w:rPr>
      </w:pPr>
      <w:r>
        <w:rPr>
          <w:rFonts w:hint="eastAsia"/>
          <w:color w:val="FF0000"/>
        </w:rPr>
        <w:t>④透水混凝土的抗冻性不应低于D50。</w:t>
      </w:r>
    </w:p>
    <w:p w14:paraId="7402C60B">
      <w:pPr>
        <w:ind w:firstLine="480"/>
        <w:rPr>
          <w:color w:val="FF0000"/>
        </w:rPr>
      </w:pPr>
      <w:r>
        <w:rPr>
          <w:rFonts w:hint="eastAsia"/>
          <w:color w:val="FF0000"/>
        </w:rPr>
        <w:t>⑤透水混凝土中</w:t>
      </w:r>
      <w:r>
        <w:rPr>
          <w:rFonts w:hint="eastAsia" w:ascii="宋体" w:hAnsi="宋体"/>
          <w:color w:val="FF0000"/>
          <w:szCs w:val="24"/>
        </w:rPr>
        <w:t>氯化物</w:t>
      </w:r>
      <w:r>
        <w:rPr>
          <w:rFonts w:hint="eastAsia"/>
          <w:color w:val="FF0000"/>
        </w:rPr>
        <w:t>和碱的总含量应符合现行国家标准</w:t>
      </w:r>
      <w:r>
        <w:rPr>
          <w:rFonts w:hint="eastAsia"/>
          <w:color w:val="FF0000"/>
          <w:lang w:val="zh-CN"/>
        </w:rPr>
        <w:t>《混凝土结构设计</w:t>
      </w:r>
      <w:r>
        <w:rPr>
          <w:rFonts w:hint="eastAsia"/>
          <w:color w:val="FF0000"/>
          <w:lang w:val="en-US" w:eastAsia="zh-CN"/>
        </w:rPr>
        <w:t>标准</w:t>
      </w:r>
      <w:r>
        <w:rPr>
          <w:rFonts w:hint="eastAsia"/>
          <w:color w:val="FF0000"/>
          <w:lang w:val="zh-CN"/>
        </w:rPr>
        <w:t>》（20</w:t>
      </w:r>
      <w:r>
        <w:rPr>
          <w:rFonts w:hint="eastAsia"/>
          <w:color w:val="FF0000"/>
          <w:lang w:val="en-US" w:eastAsia="zh-CN"/>
        </w:rPr>
        <w:t>24</w:t>
      </w:r>
      <w:r>
        <w:rPr>
          <w:rFonts w:hint="eastAsia"/>
          <w:color w:val="FF0000"/>
          <w:lang w:val="zh-CN"/>
        </w:rPr>
        <w:t>版）（</w:t>
      </w:r>
      <w:r>
        <w:rPr>
          <w:color w:val="FF0000"/>
          <w:lang w:val="zh-CN"/>
        </w:rPr>
        <w:t>GB50010-2010</w:t>
      </w:r>
      <w:r>
        <w:rPr>
          <w:rFonts w:hint="eastAsia"/>
          <w:color w:val="FF0000"/>
          <w:lang w:val="zh-CN"/>
        </w:rPr>
        <w:t>）</w:t>
      </w:r>
      <w:r>
        <w:rPr>
          <w:rFonts w:hint="eastAsia"/>
          <w:color w:val="FF0000"/>
        </w:rPr>
        <w:t>和设计的要求。</w:t>
      </w:r>
    </w:p>
    <w:p w14:paraId="29748F8E">
      <w:pPr>
        <w:ind w:firstLine="480"/>
        <w:rPr>
          <w:color w:val="FF0000"/>
        </w:rPr>
      </w:pPr>
      <w:r>
        <w:rPr>
          <w:rFonts w:hint="eastAsia"/>
          <w:color w:val="FF0000"/>
        </w:rPr>
        <w:t>⑥厚度误差允许范围在10％。</w:t>
      </w:r>
    </w:p>
    <w:p w14:paraId="217ACDE0">
      <w:pPr>
        <w:ind w:firstLine="480"/>
        <w:rPr>
          <w:rFonts w:hint="eastAsia"/>
          <w:color w:val="FF0000"/>
        </w:rPr>
      </w:pPr>
      <w:r>
        <w:rPr>
          <w:rFonts w:hint="eastAsia"/>
          <w:color w:val="FF0000"/>
        </w:rPr>
        <w:t>⑦透水混凝土</w:t>
      </w:r>
      <w:r>
        <w:rPr>
          <w:rFonts w:hint="eastAsia" w:ascii="宋体" w:hAnsi="宋体"/>
          <w:color w:val="FF0000"/>
          <w:szCs w:val="24"/>
        </w:rPr>
        <w:t>表面平整度</w:t>
      </w:r>
      <w:r>
        <w:rPr>
          <w:rFonts w:hint="eastAsia"/>
          <w:color w:val="FF0000"/>
        </w:rPr>
        <w:t>要求≤±5mm，混凝土表面不得有明显划痕、裂缝、污染，在任何l ㎡范围内大于φ10mm 的麻面不得多于两处，不得有缺边、断角、掉渣等缺陷。</w:t>
      </w:r>
    </w:p>
    <w:p w14:paraId="5A09AB70">
      <w:pPr>
        <w:widowControl/>
        <w:ind w:firstLine="0" w:firstLineChars="0"/>
        <w:jc w:val="left"/>
        <w:rPr>
          <w:rFonts w:hint="eastAsia"/>
          <w:color w:val="FF0000"/>
          <w:lang w:val="en-US" w:eastAsia="zh-CN"/>
        </w:rPr>
      </w:pPr>
      <w:r>
        <w:rPr>
          <w:rFonts w:hint="eastAsia"/>
          <w:color w:val="FF0000"/>
          <w:lang w:val="en-US" w:eastAsia="zh-CN"/>
        </w:rPr>
        <w:t>（11）未筛分碎石</w:t>
      </w:r>
    </w:p>
    <w:p w14:paraId="7F0D2768">
      <w:pPr>
        <w:pStyle w:val="189"/>
        <w:ind w:firstLine="480"/>
        <w:rPr>
          <w:rFonts w:hint="eastAsia"/>
          <w:color w:val="FF0000"/>
          <w:lang w:eastAsia="zh-CN" w:bidi="ar-SA"/>
        </w:rPr>
      </w:pPr>
      <w:r>
        <w:rPr>
          <w:rFonts w:hint="eastAsia"/>
          <w:color w:val="FF0000"/>
          <w:lang w:eastAsia="zh-CN" w:bidi="ar-SA"/>
        </w:rPr>
        <w:t>碎石的最大粒径不大于37.5mm。碎石中针片状颗粒的总含量应不超过20%，碎石中不应有粘土块、植物等有害物质。要求塑性指数&lt;6，液限&lt;28%</w:t>
      </w:r>
      <w:r>
        <w:rPr>
          <w:rFonts w:hint="eastAsia" w:cs="宋体"/>
          <w:color w:val="FF0000"/>
          <w:lang w:eastAsia="zh-CN" w:bidi="ar-SA"/>
        </w:rPr>
        <w:t>。</w:t>
      </w:r>
      <w:r>
        <w:rPr>
          <w:rFonts w:hint="eastAsia" w:cs="宋体"/>
          <w:color w:val="FF0000"/>
          <w:lang w:val="en-US" w:eastAsia="zh-CN" w:bidi="ar-SA"/>
        </w:rPr>
        <w:t>压实度</w:t>
      </w:r>
      <w:r>
        <w:rPr>
          <w:rFonts w:hint="eastAsia" w:cs="宋体"/>
          <w:color w:val="FF0000"/>
          <w:lang w:eastAsia="zh-CN" w:bidi="ar-SA"/>
        </w:rPr>
        <w:t>应不小于95%(重型击实标准)</w:t>
      </w:r>
    </w:p>
    <w:p w14:paraId="6FC5C598">
      <w:pPr>
        <w:spacing w:line="360" w:lineRule="auto"/>
        <w:ind w:left="3" w:leftChars="-1" w:hanging="5" w:hangingChars="2"/>
        <w:jc w:val="center"/>
        <w:rPr>
          <w:rFonts w:ascii="宋体" w:hAnsi="宋体"/>
          <w:b/>
          <w:lang w:eastAsia="zh-CN"/>
        </w:rPr>
      </w:pPr>
      <w:r>
        <w:rPr>
          <w:rFonts w:ascii="宋体" w:hAnsi="宋体"/>
          <w:b/>
          <w:lang w:eastAsia="zh-CN"/>
        </w:rPr>
        <w:t>未筛分碎石垫层颗粒组成范围</w:t>
      </w:r>
    </w:p>
    <w:p w14:paraId="69ACFE2D">
      <w:pPr>
        <w:pStyle w:val="8"/>
        <w:widowControl w:val="0"/>
        <w:numPr>
          <w:ilvl w:val="0"/>
          <w:numId w:val="0"/>
        </w:numPr>
        <w:spacing w:line="360" w:lineRule="auto"/>
        <w:jc w:val="both"/>
        <w:rPr>
          <w:rFonts w:hint="default"/>
          <w:lang w:val="en-US" w:eastAsia="zh-CN"/>
        </w:rPr>
      </w:pPr>
      <w:r>
        <w:rPr>
          <w:rFonts w:hint="eastAsia" w:ascii="Arial" w:cs="Arial"/>
          <w:b/>
          <w:lang w:eastAsia="zh-CN" w:bidi="ar-SA"/>
        </w:rPr>
        <w:drawing>
          <wp:inline distT="0" distB="0" distL="114300" distR="114300">
            <wp:extent cx="5741035" cy="970915"/>
            <wp:effectExtent l="0" t="0" r="12065" b="635"/>
            <wp:docPr id="37" name="图片 37" descr="1636255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1636255153(1)"/>
                    <pic:cNvPicPr>
                      <a:picLocks noChangeAspect="1"/>
                    </pic:cNvPicPr>
                  </pic:nvPicPr>
                  <pic:blipFill>
                    <a:blip r:embed="rId21"/>
                    <a:stretch>
                      <a:fillRect/>
                    </a:stretch>
                  </pic:blipFill>
                  <pic:spPr>
                    <a:xfrm>
                      <a:off x="0" y="0"/>
                      <a:ext cx="5741035" cy="970915"/>
                    </a:xfrm>
                    <a:prstGeom prst="rect">
                      <a:avLst/>
                    </a:prstGeom>
                  </pic:spPr>
                </pic:pic>
              </a:graphicData>
            </a:graphic>
          </wp:inline>
        </w:drawing>
      </w:r>
    </w:p>
    <w:p w14:paraId="193CAC1D">
      <w:pPr>
        <w:widowControl/>
        <w:ind w:firstLine="0" w:firstLineChars="0"/>
        <w:jc w:val="left"/>
        <w:rPr>
          <w:rFonts w:ascii="宋体" w:hAnsi="宋体"/>
          <w:color w:val="000000"/>
          <w:szCs w:val="24"/>
        </w:rPr>
      </w:pPr>
      <w:r>
        <w:rPr>
          <w:rFonts w:hint="eastAsia"/>
        </w:rPr>
        <w:t>（1</w:t>
      </w:r>
      <w:r>
        <w:rPr>
          <w:rFonts w:hint="eastAsia"/>
          <w:lang w:val="en-US" w:eastAsia="zh-CN"/>
        </w:rPr>
        <w:t>2</w:t>
      </w:r>
      <w:r>
        <w:rPr>
          <w:rFonts w:hint="eastAsia"/>
        </w:rPr>
        <w:t>） 侧石、平石</w:t>
      </w:r>
      <w:r>
        <w:rPr>
          <w:rFonts w:hint="eastAsia" w:ascii="宋体" w:hAnsi="宋体"/>
          <w:color w:val="000000"/>
          <w:szCs w:val="24"/>
        </w:rPr>
        <w:t>、压条材料及技术要求</w:t>
      </w:r>
    </w:p>
    <w:p w14:paraId="650FF5EA">
      <w:pPr>
        <w:ind w:firstLine="480"/>
        <w:rPr>
          <w:rFonts w:ascii="宋体" w:hAnsi="宋体"/>
          <w:color w:val="000000"/>
          <w:szCs w:val="24"/>
        </w:rPr>
      </w:pPr>
      <w:r>
        <w:rPr>
          <w:rFonts w:hint="eastAsia" w:ascii="宋体" w:hAnsi="宋体"/>
          <w:color w:val="000000"/>
          <w:szCs w:val="24"/>
        </w:rPr>
        <w:t>侧、平石、压条采用仿花岗及预制混凝土时，强度不能低于C30。</w:t>
      </w:r>
    </w:p>
    <w:p w14:paraId="3059F8A9">
      <w:pPr>
        <w:widowControl/>
        <w:ind w:firstLine="0" w:firstLineChars="0"/>
        <w:jc w:val="left"/>
      </w:pPr>
      <w:r>
        <w:rPr>
          <w:rFonts w:hint="eastAsia" w:ascii="宋体" w:hAnsi="宋体"/>
          <w:color w:val="000000"/>
          <w:szCs w:val="24"/>
        </w:rPr>
        <w:t>（1</w:t>
      </w:r>
      <w:r>
        <w:rPr>
          <w:rFonts w:hint="eastAsia" w:ascii="宋体" w:hAnsi="宋体"/>
          <w:color w:val="000000"/>
          <w:szCs w:val="24"/>
          <w:lang w:val="en-US" w:eastAsia="zh-CN"/>
        </w:rPr>
        <w:t>3</w:t>
      </w:r>
      <w:r>
        <w:rPr>
          <w:rFonts w:hint="eastAsia" w:ascii="宋体" w:hAnsi="宋体"/>
          <w:color w:val="000000"/>
          <w:szCs w:val="24"/>
        </w:rPr>
        <w:t>）土工</w:t>
      </w:r>
      <w:r>
        <w:rPr>
          <w:rFonts w:hint="eastAsia"/>
        </w:rPr>
        <w:t>布材料要求</w:t>
      </w:r>
    </w:p>
    <w:p w14:paraId="06A53F65">
      <w:pPr>
        <w:ind w:firstLine="480"/>
      </w:pPr>
      <w:r>
        <w:rPr>
          <w:rFonts w:hint="eastAsia"/>
        </w:rPr>
        <w:t>土工布采用聚酯长丝</w:t>
      </w:r>
      <w:r>
        <w:rPr>
          <w:rFonts w:hint="eastAsia" w:ascii="宋体" w:hAnsi="宋体"/>
          <w:color w:val="000000"/>
          <w:szCs w:val="24"/>
        </w:rPr>
        <w:t>土工布</w:t>
      </w:r>
      <w:r>
        <w:rPr>
          <w:rFonts w:hint="eastAsia"/>
        </w:rPr>
        <w:t>，技术参数为:标准断裂强度≥65kN/m，经向断裂强度、维向断裂强度非别为≥65kN/m、≥45.5kN/m，经/维向标称强度对应伸长率分别不超35%、30%。</w:t>
      </w:r>
    </w:p>
    <w:p w14:paraId="0C7DAA8F">
      <w:pPr>
        <w:widowControl/>
        <w:ind w:firstLine="0" w:firstLineChars="0"/>
        <w:jc w:val="left"/>
      </w:pPr>
      <w:r>
        <w:rPr>
          <w:rFonts w:hint="eastAsia"/>
        </w:rPr>
        <w:t>（1</w:t>
      </w:r>
      <w:r>
        <w:rPr>
          <w:rFonts w:hint="eastAsia"/>
          <w:lang w:val="en-US" w:eastAsia="zh-CN"/>
        </w:rPr>
        <w:t>4</w:t>
      </w:r>
      <w:r>
        <w:rPr>
          <w:rFonts w:hint="eastAsia"/>
        </w:rPr>
        <w:t>）装饰井盖</w:t>
      </w:r>
    </w:p>
    <w:p w14:paraId="74B205F4">
      <w:pPr>
        <w:ind w:firstLine="480"/>
      </w:pPr>
      <w:r>
        <w:rPr>
          <w:rFonts w:hint="eastAsia"/>
        </w:rPr>
        <w:t>所有人行道上的井盖均加装装饰井盖。人行道装饰井盖中所铺设的人行道砖与周围人行道协调一致，井盖内铺放的砖块与周边的人行道砖应该缝对缝对齐。装饰井盖应与侧石基本平行，如人行道井盖与人行道并不平行，出现歪斜的情况，应尽量将井盖调整至与人行道平行，如无法调整，则应采用较大的装饰井盖整个将井盖盖住，使装饰井盖与侧平石基本平行。装饰井盖表面须铸有说明井盖种类的中文字标（如“燃气”、“供水”、“交通”、“照明”、“消防”）等。</w:t>
      </w:r>
    </w:p>
    <w:p w14:paraId="2904C9A8">
      <w:pPr>
        <w:widowControl/>
        <w:ind w:firstLine="0" w:firstLineChars="0"/>
        <w:jc w:val="left"/>
      </w:pPr>
      <w:r>
        <w:rPr>
          <w:rFonts w:hint="eastAsia"/>
        </w:rPr>
        <w:t>装饰井盖材质为不锈钢板，厚度不下于10mm，并采用加肋钢条进行加固，强度应保证装饰井盖可以承担其上的铺装重量，开启不会导致变形，大尺寸的装饰井盖有必要时可以进行进一步的加固。</w:t>
      </w:r>
    </w:p>
    <w:p w14:paraId="640DC127">
      <w:pPr>
        <w:pStyle w:val="3"/>
        <w:bidi w:val="0"/>
        <w:ind w:firstLine="198"/>
        <w:rPr>
          <w:rFonts w:ascii="宋体" w:hAnsi="宋体"/>
          <w:b/>
          <w:color w:val="auto"/>
        </w:rPr>
      </w:pPr>
      <w:r>
        <w:rPr>
          <w:rFonts w:hint="eastAsia" w:ascii="宋体" w:hAnsi="宋体"/>
          <w:b/>
          <w:color w:val="auto"/>
        </w:rPr>
        <w:t>七、 路缘石施工</w:t>
      </w:r>
    </w:p>
    <w:p w14:paraId="57DA0176">
      <w:pPr>
        <w:ind w:firstLine="480"/>
        <w:rPr>
          <w:color w:val="auto"/>
        </w:rPr>
      </w:pPr>
      <w:r>
        <w:rPr>
          <w:rFonts w:hint="eastAsia"/>
          <w:color w:val="auto"/>
        </w:rPr>
        <w:t>1)、路缘石侧石、压条采用</w:t>
      </w:r>
      <w:r>
        <w:rPr>
          <w:rFonts w:hint="eastAsia"/>
          <w:color w:val="auto"/>
          <w:lang w:val="en-US" w:eastAsia="zh-CN"/>
        </w:rPr>
        <w:t>仿</w:t>
      </w:r>
      <w:r>
        <w:rPr>
          <w:rFonts w:hint="eastAsia"/>
          <w:color w:val="auto"/>
        </w:rPr>
        <w:t>花岗岩预制。</w:t>
      </w:r>
    </w:p>
    <w:p w14:paraId="61BD5FD8">
      <w:pPr>
        <w:ind w:firstLine="480"/>
        <w:rPr>
          <w:color w:val="auto"/>
        </w:rPr>
      </w:pPr>
      <w:r>
        <w:rPr>
          <w:rFonts w:hint="eastAsia"/>
          <w:color w:val="auto"/>
        </w:rPr>
        <w:t>2)、路缘石侧石在道路转弯弧线位置，可根据现场情况调整单块路侧石的长度，施工时必须圆顺。</w:t>
      </w:r>
    </w:p>
    <w:p w14:paraId="3D745E75">
      <w:pPr>
        <w:ind w:firstLine="480"/>
        <w:rPr>
          <w:color w:val="auto"/>
        </w:rPr>
      </w:pPr>
      <w:r>
        <w:rPr>
          <w:rFonts w:hint="eastAsia"/>
          <w:color w:val="auto"/>
        </w:rPr>
        <w:t>侧石安装具体按以下要求执行：</w:t>
      </w:r>
    </w:p>
    <w:p w14:paraId="7FF2A2D8">
      <w:pPr>
        <w:ind w:firstLine="480"/>
        <w:rPr>
          <w:color w:val="auto"/>
        </w:rPr>
      </w:pPr>
      <w:r>
        <w:rPr>
          <w:rFonts w:hint="eastAsia"/>
          <w:color w:val="auto"/>
        </w:rPr>
        <w:t>（</w:t>
      </w:r>
      <w:r>
        <w:rPr>
          <w:color w:val="auto"/>
        </w:rPr>
        <w:t>1</w:t>
      </w:r>
      <w:r>
        <w:rPr>
          <w:rFonts w:hint="eastAsia"/>
          <w:color w:val="auto"/>
        </w:rPr>
        <w:t>）侧石与混凝土路面施工顺序要求：铺砌侧石基础—</w:t>
      </w:r>
      <w:r>
        <w:rPr>
          <w:color w:val="auto"/>
        </w:rPr>
        <w:t>&gt;</w:t>
      </w:r>
      <w:r>
        <w:rPr>
          <w:rFonts w:hint="eastAsia"/>
          <w:color w:val="auto"/>
        </w:rPr>
        <w:t>安装侧石—</w:t>
      </w:r>
      <w:r>
        <w:rPr>
          <w:color w:val="auto"/>
        </w:rPr>
        <w:t>&gt;</w:t>
      </w:r>
      <w:r>
        <w:rPr>
          <w:rFonts w:hint="eastAsia"/>
          <w:color w:val="auto"/>
        </w:rPr>
        <w:t>浇筑侧石砼后座—</w:t>
      </w:r>
      <w:r>
        <w:rPr>
          <w:color w:val="auto"/>
        </w:rPr>
        <w:t>&gt;</w:t>
      </w:r>
      <w:r>
        <w:rPr>
          <w:rFonts w:hint="eastAsia"/>
          <w:color w:val="auto"/>
        </w:rPr>
        <w:t>待后座砼达一定强度后回填侧石后土方—</w:t>
      </w:r>
      <w:r>
        <w:rPr>
          <w:color w:val="auto"/>
        </w:rPr>
        <w:t>&gt;</w:t>
      </w:r>
      <w:r>
        <w:rPr>
          <w:rFonts w:hint="eastAsia"/>
          <w:color w:val="auto"/>
        </w:rPr>
        <w:t>加铺沥青混凝土路面。</w:t>
      </w:r>
    </w:p>
    <w:p w14:paraId="5A45BB79">
      <w:pPr>
        <w:ind w:firstLine="480"/>
        <w:rPr>
          <w:color w:val="auto"/>
        </w:rPr>
      </w:pPr>
      <w:r>
        <w:rPr>
          <w:rFonts w:hint="eastAsia"/>
          <w:color w:val="auto"/>
        </w:rPr>
        <w:t>（</w:t>
      </w:r>
      <w:r>
        <w:rPr>
          <w:color w:val="auto"/>
        </w:rPr>
        <w:t>2</w:t>
      </w:r>
      <w:r>
        <w:rPr>
          <w:rFonts w:hint="eastAsia"/>
          <w:color w:val="auto"/>
        </w:rPr>
        <w:t>）根据设计要求的标高直线段每</w:t>
      </w:r>
      <w:r>
        <w:rPr>
          <w:color w:val="auto"/>
        </w:rPr>
        <w:t>20m</w:t>
      </w:r>
      <w:r>
        <w:rPr>
          <w:rFonts w:hint="eastAsia"/>
          <w:color w:val="auto"/>
        </w:rPr>
        <w:t>放一个标准标高点，曲线段每</w:t>
      </w:r>
      <w:r>
        <w:rPr>
          <w:color w:val="auto"/>
        </w:rPr>
        <w:t>5m</w:t>
      </w:r>
      <w:r>
        <w:rPr>
          <w:rFonts w:hint="eastAsia"/>
          <w:color w:val="auto"/>
        </w:rPr>
        <w:t>放一个标准标高点。</w:t>
      </w:r>
    </w:p>
    <w:p w14:paraId="00E85AF5">
      <w:pPr>
        <w:ind w:firstLine="480"/>
        <w:rPr>
          <w:color w:val="auto"/>
        </w:rPr>
      </w:pPr>
      <w:r>
        <w:rPr>
          <w:rFonts w:hint="eastAsia"/>
          <w:color w:val="auto"/>
        </w:rPr>
        <w:t>（</w:t>
      </w:r>
      <w:r>
        <w:rPr>
          <w:color w:val="auto"/>
        </w:rPr>
        <w:t>3</w:t>
      </w:r>
      <w:r>
        <w:rPr>
          <w:rFonts w:hint="eastAsia"/>
          <w:color w:val="auto"/>
        </w:rPr>
        <w:t>）垫层铺设要严格按照设计要求来施工，确保安装侧石的稳定。</w:t>
      </w:r>
    </w:p>
    <w:p w14:paraId="3319B77C">
      <w:pPr>
        <w:ind w:firstLine="480"/>
        <w:rPr>
          <w:color w:val="auto"/>
        </w:rPr>
      </w:pPr>
      <w:r>
        <w:rPr>
          <w:rFonts w:hint="eastAsia"/>
          <w:color w:val="auto"/>
        </w:rPr>
        <w:t>（</w:t>
      </w:r>
      <w:r>
        <w:rPr>
          <w:color w:val="auto"/>
        </w:rPr>
        <w:t>4</w:t>
      </w:r>
      <w:r>
        <w:rPr>
          <w:rFonts w:hint="eastAsia"/>
          <w:color w:val="auto"/>
        </w:rPr>
        <w:t>）侧石必须按设计图纸施工混凝土后座，确保坚实，保证侧、平石的稳定。</w:t>
      </w:r>
    </w:p>
    <w:p w14:paraId="646FD23A">
      <w:pPr>
        <w:ind w:firstLine="480"/>
        <w:rPr>
          <w:color w:val="auto"/>
        </w:rPr>
      </w:pPr>
      <w:r>
        <w:rPr>
          <w:rFonts w:hint="eastAsia"/>
          <w:color w:val="auto"/>
        </w:rPr>
        <w:t>（</w:t>
      </w:r>
      <w:r>
        <w:rPr>
          <w:color w:val="auto"/>
        </w:rPr>
        <w:t>5</w:t>
      </w:r>
      <w:r>
        <w:rPr>
          <w:rFonts w:hint="eastAsia"/>
          <w:color w:val="auto"/>
        </w:rPr>
        <w:t>）侧石安装以侧入式排水口为中心向两边安装。</w:t>
      </w:r>
    </w:p>
    <w:p w14:paraId="32F97AB5">
      <w:pPr>
        <w:ind w:firstLine="480"/>
        <w:rPr>
          <w:color w:val="auto"/>
        </w:rPr>
      </w:pPr>
      <w:r>
        <w:rPr>
          <w:rFonts w:hint="eastAsia"/>
          <w:color w:val="auto"/>
        </w:rPr>
        <w:t>（</w:t>
      </w:r>
      <w:r>
        <w:rPr>
          <w:color w:val="auto"/>
        </w:rPr>
        <w:t>6</w:t>
      </w:r>
      <w:r>
        <w:rPr>
          <w:rFonts w:hint="eastAsia"/>
          <w:color w:val="auto"/>
        </w:rPr>
        <w:t>）侧石安装要求平顺，接缝处理要细致，并做勾缝处理。</w:t>
      </w:r>
    </w:p>
    <w:p w14:paraId="5C1634D7">
      <w:pPr>
        <w:ind w:firstLine="480"/>
        <w:rPr>
          <w:color w:val="auto"/>
        </w:rPr>
      </w:pPr>
      <w:r>
        <w:rPr>
          <w:rFonts w:hint="eastAsia"/>
          <w:color w:val="auto"/>
        </w:rPr>
        <w:t>（</w:t>
      </w:r>
      <w:r>
        <w:rPr>
          <w:color w:val="auto"/>
        </w:rPr>
        <w:t>7</w:t>
      </w:r>
      <w:r>
        <w:rPr>
          <w:rFonts w:hint="eastAsia"/>
          <w:color w:val="auto"/>
        </w:rPr>
        <w:t>）侧石之间需构制约</w:t>
      </w:r>
      <w:r>
        <w:rPr>
          <w:color w:val="auto"/>
        </w:rPr>
        <w:t>8mm</w:t>
      </w:r>
      <w:r>
        <w:rPr>
          <w:rFonts w:hint="eastAsia"/>
          <w:color w:val="auto"/>
        </w:rPr>
        <w:t>宽的水泥缝，先把侧石缝内的杂物清理干净，并用水润湿，然后按设计要求的砂浆灌缝填实勾平，用弯面彻压成凹形，深度为</w:t>
      </w:r>
      <w:r>
        <w:rPr>
          <w:color w:val="auto"/>
        </w:rPr>
        <w:t>5mm</w:t>
      </w:r>
      <w:r>
        <w:rPr>
          <w:rFonts w:hint="eastAsia"/>
          <w:color w:val="auto"/>
        </w:rPr>
        <w:t>，填缝料着颜色最好与侧石颜色一致，达到整齐美观。侧石勾缝施工应先在两侧石用贴纸保护，待施工完毕后撕去，以避免勾缝材料污染侧石，提高细部效果。</w:t>
      </w:r>
    </w:p>
    <w:p w14:paraId="29E4C196">
      <w:pPr>
        <w:ind w:firstLine="480"/>
        <w:rPr>
          <w:rFonts w:ascii="宋体" w:hAnsi="宋体"/>
          <w:snapToGrid w:val="0"/>
          <w:color w:val="auto"/>
          <w:spacing w:val="8"/>
          <w:kern w:val="28"/>
        </w:rPr>
      </w:pPr>
      <w:r>
        <w:rPr>
          <w:rFonts w:hint="eastAsia"/>
          <w:color w:val="auto"/>
        </w:rPr>
        <w:t>（</w:t>
      </w:r>
      <w:r>
        <w:rPr>
          <w:color w:val="auto"/>
        </w:rPr>
        <w:t>8</w:t>
      </w:r>
      <w:r>
        <w:rPr>
          <w:rFonts w:hint="eastAsia"/>
          <w:color w:val="auto"/>
        </w:rPr>
        <w:t>）遇小半径道路时，需增加小半径侧石，以保持道路线形顺畅。</w:t>
      </w:r>
    </w:p>
    <w:p w14:paraId="20F70005">
      <w:pPr>
        <w:pStyle w:val="3"/>
        <w:bidi w:val="0"/>
        <w:ind w:firstLine="198"/>
        <w:rPr>
          <w:rFonts w:ascii="宋体" w:hAnsi="宋体"/>
          <w:b/>
          <w:color w:val="auto"/>
        </w:rPr>
      </w:pPr>
      <w:r>
        <w:rPr>
          <w:rFonts w:hint="eastAsia" w:ascii="宋体" w:hAnsi="宋体"/>
          <w:b/>
          <w:color w:val="auto"/>
        </w:rPr>
        <w:t>八、交通</w:t>
      </w:r>
      <w:r>
        <w:rPr>
          <w:rFonts w:hint="eastAsia" w:ascii="Times New Roman" w:hAnsi="Times New Roman" w:eastAsia="宋体"/>
        </w:rPr>
        <w:t>设施</w:t>
      </w:r>
      <w:r>
        <w:rPr>
          <w:rFonts w:hint="eastAsia" w:ascii="宋体" w:hAnsi="宋体"/>
          <w:b/>
          <w:color w:val="auto"/>
        </w:rPr>
        <w:t>设计</w:t>
      </w:r>
    </w:p>
    <w:p w14:paraId="6024CF4D">
      <w:pPr>
        <w:ind w:firstLine="480"/>
        <w:rPr>
          <w:color w:val="auto"/>
        </w:rPr>
      </w:pPr>
      <w:r>
        <w:rPr>
          <w:rFonts w:hint="eastAsia"/>
          <w:color w:val="auto"/>
        </w:rPr>
        <w:t>设计原则及现状</w:t>
      </w:r>
    </w:p>
    <w:p w14:paraId="17A22E87">
      <w:pPr>
        <w:ind w:firstLine="480"/>
        <w:rPr>
          <w:color w:val="auto"/>
        </w:rPr>
      </w:pPr>
      <w:r>
        <w:rPr>
          <w:rFonts w:hint="eastAsia"/>
          <w:color w:val="auto"/>
        </w:rPr>
        <w:t>合理布置该路段的标志标线，以交通流，交通控制原理进行设计，标志、标线的布设要求简单、清晰、明了。 道路交通标线，是保障公路安全运营的基础设施之一。路面标线是引导司机视线，管制司机驾车行为的重要手段，它可以确保车流分道行驶，导流交通行驶方向，指引车辆在汇合或分流前进入合适的车道，加强车辆行驶纪律和秩序，促使更好地组织交通。正确设置交通标线能合理的利用道路有效面积，改善车流行驶条件，增加道路通行能力，减少交通事故。</w:t>
      </w:r>
    </w:p>
    <w:p w14:paraId="447EABF3">
      <w:pPr>
        <w:ind w:firstLine="480"/>
        <w:rPr>
          <w:color w:val="auto"/>
        </w:rPr>
      </w:pPr>
      <w:r>
        <w:rPr>
          <w:rFonts w:hint="eastAsia"/>
          <w:color w:val="auto"/>
        </w:rPr>
        <w:t>1、标线设置</w:t>
      </w:r>
    </w:p>
    <w:p w14:paraId="0BA61B6A">
      <w:pPr>
        <w:ind w:firstLine="480"/>
        <w:rPr>
          <w:color w:val="auto"/>
        </w:rPr>
      </w:pPr>
      <w:r>
        <w:rPr>
          <w:rFonts w:hint="eastAsia"/>
          <w:color w:val="auto"/>
        </w:rPr>
        <w:t>（1）车道边缘线是行车道的边线，采用白色实线，线宽10cm。</w:t>
      </w:r>
    </w:p>
    <w:p w14:paraId="35529FC9">
      <w:pPr>
        <w:ind w:firstLine="480"/>
        <w:rPr>
          <w:color w:val="auto"/>
        </w:rPr>
      </w:pPr>
      <w:r>
        <w:rPr>
          <w:rFonts w:hint="eastAsia"/>
          <w:color w:val="auto"/>
        </w:rPr>
        <w:t>（2）对向车道分界线采用黄色色虚线，线宽10cm，线段及间隔长分别为400cm和600cm。</w:t>
      </w:r>
    </w:p>
    <w:p w14:paraId="08ABEE3A">
      <w:pPr>
        <w:ind w:firstLine="480"/>
        <w:rPr>
          <w:color w:val="auto"/>
        </w:rPr>
      </w:pPr>
      <w:r>
        <w:rPr>
          <w:rFonts w:hint="eastAsia"/>
          <w:color w:val="auto"/>
        </w:rPr>
        <w:t>（3）在交叉路口内，设置有人行横道线、停止线、导向箭头、禁止掉头等，除了禁止掉头采用黄色反光标线外，其它采用白色反光标线，按功能采用相应线形划线。并应符合国家标准</w:t>
      </w:r>
      <w:r>
        <w:rPr>
          <w:rFonts w:hint="eastAsia"/>
          <w:color w:val="FF0000"/>
        </w:rPr>
        <w:t>GB5768</w:t>
      </w:r>
      <w:r>
        <w:rPr>
          <w:rFonts w:hint="eastAsia"/>
          <w:color w:val="FF0000"/>
          <w:lang w:val="en-US" w:eastAsia="zh-CN"/>
        </w:rPr>
        <w:t>.3</w:t>
      </w:r>
      <w:r>
        <w:rPr>
          <w:rFonts w:hint="eastAsia"/>
          <w:color w:val="FF0000"/>
        </w:rPr>
        <w:t>-2009《道路交通标志和标线》</w:t>
      </w:r>
      <w:r>
        <w:rPr>
          <w:rFonts w:hint="eastAsia"/>
          <w:color w:val="auto"/>
        </w:rPr>
        <w:t>的相关规定。</w:t>
      </w:r>
    </w:p>
    <w:p w14:paraId="398EA3E9">
      <w:pPr>
        <w:ind w:firstLine="480"/>
        <w:rPr>
          <w:color w:val="auto"/>
        </w:rPr>
      </w:pPr>
      <w:r>
        <w:rPr>
          <w:rFonts w:hint="eastAsia"/>
          <w:color w:val="auto"/>
        </w:rPr>
        <w:t>2、标线质量要求</w:t>
      </w:r>
    </w:p>
    <w:p w14:paraId="683580FD">
      <w:pPr>
        <w:ind w:firstLine="480"/>
        <w:rPr>
          <w:color w:val="auto"/>
        </w:rPr>
      </w:pPr>
      <w:r>
        <w:rPr>
          <w:rFonts w:hint="eastAsia"/>
          <w:color w:val="auto"/>
        </w:rPr>
        <w:t>（1）一般规定</w:t>
      </w:r>
    </w:p>
    <w:p w14:paraId="27267021">
      <w:pPr>
        <w:ind w:firstLine="480"/>
        <w:rPr>
          <w:color w:val="auto"/>
        </w:rPr>
      </w:pPr>
      <w:r>
        <w:rPr>
          <w:rFonts w:hint="eastAsia"/>
          <w:color w:val="auto"/>
        </w:rPr>
        <w:t>①标线应符合</w:t>
      </w:r>
      <w:r>
        <w:rPr>
          <w:color w:val="FF0000"/>
        </w:rPr>
        <w:t>GB5768</w:t>
      </w:r>
      <w:r>
        <w:rPr>
          <w:rFonts w:hint="eastAsia"/>
          <w:color w:val="FF0000"/>
          <w:lang w:val="en-US" w:eastAsia="zh-CN"/>
        </w:rPr>
        <w:t>.3</w:t>
      </w:r>
      <w:r>
        <w:rPr>
          <w:rFonts w:hint="eastAsia"/>
          <w:color w:val="FF0000"/>
        </w:rPr>
        <w:t>－2009</w:t>
      </w:r>
      <w:r>
        <w:rPr>
          <w:rFonts w:hint="eastAsia"/>
          <w:color w:val="auto"/>
        </w:rPr>
        <w:t>的规定。</w:t>
      </w:r>
    </w:p>
    <w:p w14:paraId="7621EF28">
      <w:pPr>
        <w:ind w:firstLine="480"/>
        <w:rPr>
          <w:color w:val="auto"/>
        </w:rPr>
      </w:pPr>
      <w:r>
        <w:rPr>
          <w:rFonts w:hint="eastAsia"/>
          <w:color w:val="auto"/>
        </w:rPr>
        <w:t>②使用的标线涂料应具有与路面粘结力强、干燥迅速以及良好的耐磨性、耐候性、抗滑性等特性，并应符合有关国家标准或行业标准的要求。</w:t>
      </w:r>
    </w:p>
    <w:p w14:paraId="1081527A">
      <w:pPr>
        <w:ind w:firstLine="480"/>
        <w:rPr>
          <w:color w:val="auto"/>
        </w:rPr>
      </w:pPr>
      <w:r>
        <w:rPr>
          <w:rFonts w:hint="eastAsia"/>
          <w:color w:val="auto"/>
        </w:rPr>
        <w:t>③标线应具有良好的视认性，宽度一致、间隔相等、边缘整齐、线型规则、线条流畅。</w:t>
      </w:r>
    </w:p>
    <w:p w14:paraId="2C3537DE">
      <w:pPr>
        <w:ind w:firstLine="480"/>
        <w:rPr>
          <w:color w:val="auto"/>
        </w:rPr>
      </w:pPr>
      <w:r>
        <w:rPr>
          <w:rFonts w:hint="eastAsia"/>
          <w:color w:val="auto"/>
        </w:rPr>
        <w:t>④标线涂层应厚度均匀，无起泡、开裂、发粘、脱落等现象。</w:t>
      </w:r>
    </w:p>
    <w:p w14:paraId="29173326">
      <w:pPr>
        <w:ind w:firstLine="480"/>
        <w:rPr>
          <w:color w:val="auto"/>
        </w:rPr>
      </w:pPr>
      <w:r>
        <w:rPr>
          <w:rFonts w:hint="eastAsia"/>
          <w:color w:val="auto"/>
        </w:rPr>
        <w:t>（2）材料要求</w:t>
      </w:r>
    </w:p>
    <w:p w14:paraId="6ACAE2CE">
      <w:pPr>
        <w:ind w:firstLine="480"/>
        <w:rPr>
          <w:color w:val="auto"/>
        </w:rPr>
      </w:pPr>
      <w:r>
        <w:rPr>
          <w:rFonts w:hint="eastAsia"/>
          <w:color w:val="auto"/>
        </w:rPr>
        <w:t>①涂膜外观：涂膜冷凝后应无皱纹、斑点、起泡、裂纹、脱落及表面无发贴现象，涂膜的颜色和外观与标准差别不大。</w:t>
      </w:r>
    </w:p>
    <w:p w14:paraId="6750EF8C">
      <w:pPr>
        <w:ind w:firstLine="480"/>
        <w:rPr>
          <w:color w:val="auto"/>
        </w:rPr>
      </w:pPr>
      <w:r>
        <w:rPr>
          <w:rFonts w:hint="eastAsia"/>
          <w:color w:val="auto"/>
        </w:rPr>
        <w:t>②涂料用下涂剂颜色应无透明或琥珀色流体；固体含量：30%±5%；涂布量：152～200 g/m2；干燥时间：min≤5。</w:t>
      </w:r>
    </w:p>
    <w:p w14:paraId="55349119">
      <w:pPr>
        <w:ind w:firstLine="480"/>
        <w:rPr>
          <w:color w:val="auto"/>
        </w:rPr>
      </w:pPr>
      <w:r>
        <w:rPr>
          <w:rFonts w:hint="eastAsia"/>
          <w:color w:val="auto"/>
        </w:rPr>
        <w:t>③玻璃珠含量：涂料20%～30%的玻璃珠，施工时撒布玻璃珠于热熔涂料上技术要求。</w:t>
      </w:r>
    </w:p>
    <w:p w14:paraId="1FF41FE5">
      <w:pPr>
        <w:ind w:firstLine="480"/>
        <w:rPr>
          <w:color w:val="auto"/>
        </w:rPr>
      </w:pPr>
      <w:r>
        <w:rPr>
          <w:rFonts w:hint="eastAsia"/>
          <w:color w:val="auto"/>
        </w:rPr>
        <w:t>④制作道路标线使用热熔反光涂料。</w:t>
      </w:r>
    </w:p>
    <w:p w14:paraId="64370B1E">
      <w:pPr>
        <w:ind w:firstLine="480"/>
        <w:rPr>
          <w:color w:val="auto"/>
        </w:rPr>
      </w:pPr>
      <w:r>
        <w:rPr>
          <w:rFonts w:hint="eastAsia"/>
          <w:color w:val="auto"/>
        </w:rPr>
        <w:t>⑤制作标线的热熔涂料、底漆、玻璃珠要经交通部检查合格才能使用。</w:t>
      </w:r>
    </w:p>
    <w:p w14:paraId="474EC4E1">
      <w:pPr>
        <w:ind w:firstLine="480"/>
        <w:rPr>
          <w:color w:val="auto"/>
        </w:rPr>
      </w:pPr>
      <w:r>
        <w:rPr>
          <w:rFonts w:hint="eastAsia"/>
          <w:color w:val="auto"/>
        </w:rPr>
        <w:t>⑥人行横道线、人行预告标志、箭头、导流线制作符号GB5768—2009规定。</w:t>
      </w:r>
    </w:p>
    <w:p w14:paraId="158EB940">
      <w:pPr>
        <w:ind w:firstLine="480"/>
        <w:rPr>
          <w:color w:val="auto"/>
        </w:rPr>
      </w:pPr>
      <w:r>
        <w:rPr>
          <w:rFonts w:hint="eastAsia"/>
          <w:color w:val="auto"/>
        </w:rPr>
        <w:t>⑦制作标线、人行横线及箭头、导流线等等，要铲除旧标线后现再制作新标线。</w:t>
      </w:r>
    </w:p>
    <w:p w14:paraId="7A1EE6D0">
      <w:pPr>
        <w:ind w:firstLine="480"/>
        <w:rPr>
          <w:color w:val="auto"/>
        </w:rPr>
      </w:pPr>
      <w:r>
        <w:rPr>
          <w:rFonts w:hint="eastAsia"/>
          <w:color w:val="auto"/>
        </w:rPr>
        <w:t>⑧标线厚度不少于1.8mm，减速黄线厚度不小于7.5mm，亮度因数≥0.27，双实线为黄色，车道线为白色，其他标线、箭头等符合GB5768—2009规定。</w:t>
      </w:r>
    </w:p>
    <w:p w14:paraId="7F886E1E">
      <w:pPr>
        <w:ind w:firstLine="480"/>
        <w:rPr>
          <w:color w:val="auto"/>
        </w:rPr>
      </w:pPr>
      <w:r>
        <w:rPr>
          <w:rFonts w:hint="eastAsia"/>
          <w:color w:val="auto"/>
        </w:rPr>
        <w:t>⑨根据GB5768—2009规定，按道路的情况及车速要求，制作道路标线。</w:t>
      </w:r>
    </w:p>
    <w:p w14:paraId="7D382CF1">
      <w:pPr>
        <w:ind w:firstLine="480"/>
        <w:rPr>
          <w:color w:val="auto"/>
        </w:rPr>
      </w:pPr>
      <w:r>
        <w:rPr>
          <w:rFonts w:hint="eastAsia"/>
          <w:color w:val="auto"/>
        </w:rPr>
        <w:t>（3）标线形状位置允许误差</w:t>
      </w:r>
    </w:p>
    <w:p w14:paraId="217C70CF">
      <w:pPr>
        <w:ind w:firstLine="480"/>
        <w:rPr>
          <w:color w:val="auto"/>
        </w:rPr>
      </w:pPr>
      <w:r>
        <w:rPr>
          <w:rFonts w:hint="eastAsia"/>
          <w:color w:val="auto"/>
        </w:rPr>
        <w:t>①新建道路标线的位置与设计位置误差不大于50mm。现有道路重新施划标线应先将旧标线清除干净。</w:t>
      </w:r>
    </w:p>
    <w:p w14:paraId="12037908">
      <w:pPr>
        <w:ind w:firstLine="480"/>
        <w:rPr>
          <w:color w:val="auto"/>
          <w:lang w:val="zh-CN"/>
        </w:rPr>
      </w:pPr>
      <w:r>
        <w:rPr>
          <w:rFonts w:hint="eastAsia"/>
          <w:color w:val="auto"/>
        </w:rPr>
        <w:t>②所有纵向标线的长度、宽度和纵向间距误差符合表1的规定。</w:t>
      </w:r>
    </w:p>
    <w:p w14:paraId="001C6415">
      <w:pPr>
        <w:pStyle w:val="188"/>
        <w:autoSpaceDE w:val="0"/>
        <w:autoSpaceDN w:val="0"/>
        <w:spacing w:before="163"/>
        <w:ind w:right="434" w:rightChars="181" w:firstLine="3660" w:firstLineChars="1519"/>
        <w:textAlignment w:val="bottom"/>
        <w:rPr>
          <w:color w:val="auto"/>
          <w:kern w:val="2"/>
        </w:rPr>
      </w:pPr>
      <w:r>
        <w:rPr>
          <w:rFonts w:hint="eastAsia"/>
          <w:b/>
          <w:color w:val="auto"/>
          <w:kern w:val="2"/>
        </w:rPr>
        <w:t xml:space="preserve">表1  路面标线要求              </w:t>
      </w:r>
      <w:r>
        <w:rPr>
          <w:rFonts w:hint="eastAsia"/>
          <w:color w:val="auto"/>
          <w:kern w:val="2"/>
        </w:rPr>
        <w:t>单位：mm</w:t>
      </w:r>
    </w:p>
    <w:tbl>
      <w:tblPr>
        <w:tblStyle w:val="8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3247"/>
      </w:tblGrid>
      <w:tr w14:paraId="4FF6C8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Align w:val="center"/>
          </w:tcPr>
          <w:p w14:paraId="16AC8AB6">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项目</w:t>
            </w:r>
          </w:p>
        </w:tc>
        <w:tc>
          <w:tcPr>
            <w:tcW w:w="2841" w:type="dxa"/>
            <w:vAlign w:val="center"/>
          </w:tcPr>
          <w:p w14:paraId="5B8F6F6A">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尺寸</w:t>
            </w:r>
          </w:p>
        </w:tc>
        <w:tc>
          <w:tcPr>
            <w:tcW w:w="3247" w:type="dxa"/>
            <w:vAlign w:val="center"/>
          </w:tcPr>
          <w:p w14:paraId="5875EC12">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允许误差</w:t>
            </w:r>
          </w:p>
        </w:tc>
      </w:tr>
      <w:tr w14:paraId="29646C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restart"/>
            <w:vAlign w:val="center"/>
          </w:tcPr>
          <w:p w14:paraId="3B729E11">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长度</w:t>
            </w:r>
          </w:p>
        </w:tc>
        <w:tc>
          <w:tcPr>
            <w:tcW w:w="2841" w:type="dxa"/>
            <w:vAlign w:val="center"/>
          </w:tcPr>
          <w:p w14:paraId="5C324538">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6000</w:t>
            </w:r>
          </w:p>
        </w:tc>
        <w:tc>
          <w:tcPr>
            <w:tcW w:w="3247" w:type="dxa"/>
            <w:vAlign w:val="center"/>
          </w:tcPr>
          <w:p w14:paraId="30DE6810">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0-30</w:t>
            </w:r>
          </w:p>
        </w:tc>
      </w:tr>
      <w:tr w14:paraId="47AB4F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5679B397">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51366FB0">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4000</w:t>
            </w:r>
          </w:p>
        </w:tc>
        <w:tc>
          <w:tcPr>
            <w:tcW w:w="3247" w:type="dxa"/>
            <w:vAlign w:val="center"/>
          </w:tcPr>
          <w:p w14:paraId="46440CFA">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0-20</w:t>
            </w:r>
          </w:p>
        </w:tc>
      </w:tr>
      <w:tr w14:paraId="2DD797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3A5E2F06">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058219EC">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3000</w:t>
            </w:r>
          </w:p>
        </w:tc>
        <w:tc>
          <w:tcPr>
            <w:tcW w:w="3247" w:type="dxa"/>
            <w:vAlign w:val="center"/>
          </w:tcPr>
          <w:p w14:paraId="4F8C3178">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0-15</w:t>
            </w:r>
          </w:p>
        </w:tc>
      </w:tr>
      <w:tr w14:paraId="754903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7649F922">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6188EC36">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2000</w:t>
            </w:r>
          </w:p>
        </w:tc>
        <w:tc>
          <w:tcPr>
            <w:tcW w:w="3247" w:type="dxa"/>
            <w:vAlign w:val="center"/>
          </w:tcPr>
          <w:p w14:paraId="698AFBD3">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0-10</w:t>
            </w:r>
          </w:p>
        </w:tc>
      </w:tr>
      <w:tr w14:paraId="33A8A5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restart"/>
            <w:vAlign w:val="center"/>
          </w:tcPr>
          <w:p w14:paraId="348B92EB">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宽度</w:t>
            </w:r>
          </w:p>
        </w:tc>
        <w:tc>
          <w:tcPr>
            <w:tcW w:w="2841" w:type="dxa"/>
            <w:vAlign w:val="center"/>
          </w:tcPr>
          <w:p w14:paraId="21B5203E">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400</w:t>
            </w:r>
          </w:p>
        </w:tc>
        <w:tc>
          <w:tcPr>
            <w:tcW w:w="3247" w:type="dxa"/>
            <w:vAlign w:val="center"/>
          </w:tcPr>
          <w:p w14:paraId="09FACC78">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0-15</w:t>
            </w:r>
          </w:p>
        </w:tc>
      </w:tr>
      <w:tr w14:paraId="05609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28FB0EC0">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27A023AF">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150</w:t>
            </w:r>
          </w:p>
        </w:tc>
        <w:tc>
          <w:tcPr>
            <w:tcW w:w="3247" w:type="dxa"/>
            <w:vAlign w:val="center"/>
          </w:tcPr>
          <w:p w14:paraId="19901B01">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0-8</w:t>
            </w:r>
          </w:p>
        </w:tc>
      </w:tr>
      <w:tr w14:paraId="2BB5B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5449046F">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3F3B5463">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100</w:t>
            </w:r>
          </w:p>
        </w:tc>
        <w:tc>
          <w:tcPr>
            <w:tcW w:w="3247" w:type="dxa"/>
            <w:vAlign w:val="center"/>
          </w:tcPr>
          <w:p w14:paraId="1E538D73">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0-5</w:t>
            </w:r>
          </w:p>
        </w:tc>
      </w:tr>
      <w:tr w14:paraId="2F0457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restart"/>
            <w:vAlign w:val="center"/>
          </w:tcPr>
          <w:p w14:paraId="7539EE9A">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纵向间距</w:t>
            </w:r>
          </w:p>
        </w:tc>
        <w:tc>
          <w:tcPr>
            <w:tcW w:w="2841" w:type="dxa"/>
            <w:vAlign w:val="center"/>
          </w:tcPr>
          <w:p w14:paraId="4B392D1E">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9000</w:t>
            </w:r>
          </w:p>
        </w:tc>
        <w:tc>
          <w:tcPr>
            <w:tcW w:w="3247" w:type="dxa"/>
            <w:vAlign w:val="center"/>
          </w:tcPr>
          <w:p w14:paraId="5F2D43ED">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±45</w:t>
            </w:r>
          </w:p>
        </w:tc>
      </w:tr>
      <w:tr w14:paraId="57820E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5767CD4E">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5702206A">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6000</w:t>
            </w:r>
          </w:p>
        </w:tc>
        <w:tc>
          <w:tcPr>
            <w:tcW w:w="3247" w:type="dxa"/>
            <w:vAlign w:val="center"/>
          </w:tcPr>
          <w:p w14:paraId="317DA477">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±30</w:t>
            </w:r>
          </w:p>
        </w:tc>
      </w:tr>
      <w:tr w14:paraId="3D48DC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4C5E0D3F">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5E6BAD48">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4000</w:t>
            </w:r>
          </w:p>
        </w:tc>
        <w:tc>
          <w:tcPr>
            <w:tcW w:w="3247" w:type="dxa"/>
            <w:vAlign w:val="center"/>
          </w:tcPr>
          <w:p w14:paraId="2B1936F6">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±20</w:t>
            </w:r>
          </w:p>
        </w:tc>
      </w:tr>
      <w:tr w14:paraId="072D73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840" w:type="dxa"/>
            <w:vMerge w:val="continue"/>
            <w:vAlign w:val="center"/>
          </w:tcPr>
          <w:p w14:paraId="011220C3">
            <w:pPr>
              <w:pStyle w:val="188"/>
              <w:autoSpaceDE w:val="0"/>
              <w:autoSpaceDN w:val="0"/>
              <w:spacing w:before="163" w:line="240" w:lineRule="auto"/>
              <w:ind w:right="434" w:rightChars="181" w:firstLine="573"/>
              <w:jc w:val="center"/>
              <w:textAlignment w:val="bottom"/>
              <w:rPr>
                <w:color w:val="auto"/>
                <w:kern w:val="2"/>
                <w:sz w:val="21"/>
                <w:szCs w:val="21"/>
              </w:rPr>
            </w:pPr>
          </w:p>
        </w:tc>
        <w:tc>
          <w:tcPr>
            <w:tcW w:w="2841" w:type="dxa"/>
            <w:vAlign w:val="center"/>
          </w:tcPr>
          <w:p w14:paraId="12461793">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3000</w:t>
            </w:r>
          </w:p>
        </w:tc>
        <w:tc>
          <w:tcPr>
            <w:tcW w:w="3247" w:type="dxa"/>
            <w:vAlign w:val="center"/>
          </w:tcPr>
          <w:p w14:paraId="103A2A6B">
            <w:pPr>
              <w:pStyle w:val="188"/>
              <w:autoSpaceDE w:val="0"/>
              <w:autoSpaceDN w:val="0"/>
              <w:spacing w:before="163" w:line="240" w:lineRule="auto"/>
              <w:ind w:right="434" w:rightChars="181" w:firstLine="573"/>
              <w:jc w:val="center"/>
              <w:textAlignment w:val="bottom"/>
              <w:rPr>
                <w:color w:val="auto"/>
                <w:kern w:val="2"/>
                <w:sz w:val="21"/>
                <w:szCs w:val="21"/>
              </w:rPr>
            </w:pPr>
            <w:r>
              <w:rPr>
                <w:rFonts w:hint="eastAsia"/>
                <w:color w:val="auto"/>
                <w:kern w:val="2"/>
                <w:sz w:val="21"/>
                <w:szCs w:val="21"/>
              </w:rPr>
              <w:t>±15</w:t>
            </w:r>
          </w:p>
        </w:tc>
      </w:tr>
    </w:tbl>
    <w:p w14:paraId="1A8F27DB">
      <w:pPr>
        <w:ind w:firstLine="480"/>
        <w:rPr>
          <w:color w:val="auto"/>
          <w:lang w:val="zh-CN"/>
        </w:rPr>
      </w:pPr>
      <w:r>
        <w:rPr>
          <w:rFonts w:hint="eastAsia"/>
          <w:color w:val="auto"/>
          <w:lang w:val="zh-CN"/>
        </w:rPr>
        <w:t>③特殊标线的宽度误差不大于5%。</w:t>
      </w:r>
    </w:p>
    <w:p w14:paraId="7F316694">
      <w:pPr>
        <w:ind w:firstLine="480"/>
        <w:rPr>
          <w:color w:val="auto"/>
          <w:lang w:val="zh-CN"/>
        </w:rPr>
      </w:pPr>
      <w:r>
        <w:rPr>
          <w:rFonts w:hint="eastAsia"/>
          <w:color w:val="auto"/>
          <w:lang w:val="zh-CN"/>
        </w:rPr>
        <w:t>④人字形标线、文字、符号应符合设计要求。</w:t>
      </w:r>
    </w:p>
    <w:p w14:paraId="23D344BA">
      <w:pPr>
        <w:ind w:firstLine="480"/>
        <w:rPr>
          <w:color w:val="auto"/>
          <w:lang w:val="zh-CN"/>
        </w:rPr>
      </w:pPr>
      <w:r>
        <w:rPr>
          <w:rFonts w:hint="eastAsia"/>
          <w:color w:val="auto"/>
          <w:lang w:val="zh-CN"/>
        </w:rPr>
        <w:t>⑤标线的端线与边线应垂直，其误差不大于±5°；其他特殊标线，其角度与设计值的误差不大于±3°。</w:t>
      </w:r>
    </w:p>
    <w:p w14:paraId="1A3D8290">
      <w:pPr>
        <w:ind w:firstLine="480"/>
        <w:rPr>
          <w:color w:val="auto"/>
          <w:lang w:val="zh-CN"/>
        </w:rPr>
      </w:pPr>
      <w:r>
        <w:rPr>
          <w:rFonts w:hint="eastAsia"/>
          <w:color w:val="auto"/>
          <w:lang w:val="zh-CN"/>
        </w:rPr>
        <w:t>（4）标线涂层厚度</w:t>
      </w:r>
    </w:p>
    <w:p w14:paraId="6AD913CD">
      <w:pPr>
        <w:ind w:firstLine="480"/>
        <w:rPr>
          <w:color w:val="auto"/>
          <w:lang w:val="zh-CN"/>
        </w:rPr>
      </w:pPr>
      <w:r>
        <w:rPr>
          <w:rFonts w:hint="eastAsia"/>
          <w:color w:val="auto"/>
          <w:lang w:val="zh-CN"/>
        </w:rPr>
        <w:t>热熔型涂料标线：1.8-2.0mm</w:t>
      </w:r>
    </w:p>
    <w:p w14:paraId="294F39AA">
      <w:pPr>
        <w:ind w:firstLine="480"/>
        <w:rPr>
          <w:color w:val="auto"/>
          <w:lang w:val="zh-CN"/>
        </w:rPr>
      </w:pPr>
      <w:r>
        <w:rPr>
          <w:rFonts w:hint="eastAsia"/>
          <w:color w:val="auto"/>
          <w:lang w:val="zh-CN"/>
        </w:rPr>
        <w:t>（5）标线色度性能</w:t>
      </w:r>
    </w:p>
    <w:p w14:paraId="3015735C">
      <w:pPr>
        <w:ind w:firstLine="480"/>
        <w:rPr>
          <w:color w:val="auto"/>
          <w:lang w:val="zh-CN"/>
        </w:rPr>
      </w:pPr>
      <w:r>
        <w:rPr>
          <w:rFonts w:hint="eastAsia"/>
          <w:color w:val="auto"/>
          <w:lang w:val="zh-CN"/>
        </w:rPr>
        <w:t>①标线颜色为白色或黄色，其色品坐标和光亮因素应在表2规定的范围内。</w:t>
      </w:r>
    </w:p>
    <w:p w14:paraId="337569E6">
      <w:pPr>
        <w:pStyle w:val="188"/>
        <w:autoSpaceDE w:val="0"/>
        <w:autoSpaceDN w:val="0"/>
        <w:spacing w:before="163"/>
        <w:ind w:right="434" w:rightChars="181" w:firstLine="573"/>
        <w:jc w:val="center"/>
        <w:textAlignment w:val="bottom"/>
        <w:rPr>
          <w:b/>
          <w:color w:val="auto"/>
          <w:kern w:val="2"/>
        </w:rPr>
      </w:pPr>
      <w:r>
        <w:rPr>
          <w:rFonts w:hint="eastAsia"/>
          <w:b/>
          <w:color w:val="auto"/>
          <w:kern w:val="2"/>
        </w:rPr>
        <w:t>表2  标线色品和光亮度要求</w:t>
      </w:r>
    </w:p>
    <w:tbl>
      <w:tblPr>
        <w:tblStyle w:val="88"/>
        <w:tblW w:w="9108"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68"/>
        <w:gridCol w:w="540"/>
        <w:gridCol w:w="540"/>
        <w:gridCol w:w="1260"/>
        <w:gridCol w:w="1440"/>
        <w:gridCol w:w="1260"/>
        <w:gridCol w:w="1260"/>
        <w:gridCol w:w="1440"/>
      </w:tblGrid>
      <w:tr w14:paraId="3B17FD2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08" w:type="dxa"/>
            <w:gridSpan w:val="2"/>
            <w:vMerge w:val="restart"/>
            <w:vAlign w:val="center"/>
          </w:tcPr>
          <w:p w14:paraId="4FD1F37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颜色</w:t>
            </w:r>
          </w:p>
        </w:tc>
        <w:tc>
          <w:tcPr>
            <w:tcW w:w="7200" w:type="dxa"/>
            <w:gridSpan w:val="6"/>
            <w:vAlign w:val="center"/>
          </w:tcPr>
          <w:p w14:paraId="10472400">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色品坐标 光源：标准光源D65（几何45°/0°）</w:t>
            </w:r>
          </w:p>
        </w:tc>
      </w:tr>
      <w:tr w14:paraId="68913F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08" w:type="dxa"/>
            <w:gridSpan w:val="2"/>
            <w:vMerge w:val="continue"/>
            <w:vAlign w:val="center"/>
          </w:tcPr>
          <w:p w14:paraId="598FB042">
            <w:pPr>
              <w:pStyle w:val="188"/>
              <w:autoSpaceDE w:val="0"/>
              <w:autoSpaceDN w:val="0"/>
              <w:spacing w:before="163" w:line="240" w:lineRule="auto"/>
              <w:ind w:right="434" w:rightChars="181"/>
              <w:jc w:val="center"/>
              <w:textAlignment w:val="bottom"/>
              <w:rPr>
                <w:color w:val="auto"/>
                <w:kern w:val="2"/>
                <w:sz w:val="21"/>
                <w:szCs w:val="21"/>
              </w:rPr>
            </w:pPr>
          </w:p>
        </w:tc>
        <w:tc>
          <w:tcPr>
            <w:tcW w:w="1800" w:type="dxa"/>
            <w:gridSpan w:val="2"/>
            <w:vAlign w:val="center"/>
          </w:tcPr>
          <w:p w14:paraId="2619D5F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1</w:t>
            </w:r>
          </w:p>
        </w:tc>
        <w:tc>
          <w:tcPr>
            <w:tcW w:w="1440" w:type="dxa"/>
            <w:vAlign w:val="center"/>
          </w:tcPr>
          <w:p w14:paraId="50E3AFB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2</w:t>
            </w:r>
          </w:p>
        </w:tc>
        <w:tc>
          <w:tcPr>
            <w:tcW w:w="1260" w:type="dxa"/>
            <w:vAlign w:val="center"/>
          </w:tcPr>
          <w:p w14:paraId="6083CF4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3</w:t>
            </w:r>
          </w:p>
        </w:tc>
        <w:tc>
          <w:tcPr>
            <w:tcW w:w="1260" w:type="dxa"/>
            <w:vAlign w:val="center"/>
          </w:tcPr>
          <w:p w14:paraId="334E8B5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4</w:t>
            </w:r>
          </w:p>
        </w:tc>
        <w:tc>
          <w:tcPr>
            <w:tcW w:w="1440" w:type="dxa"/>
            <w:vAlign w:val="center"/>
          </w:tcPr>
          <w:p w14:paraId="086BC8ED">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亮度因素</w:t>
            </w:r>
          </w:p>
        </w:tc>
      </w:tr>
      <w:tr w14:paraId="2BC37F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3CE1D64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表面色</w:t>
            </w:r>
          </w:p>
        </w:tc>
        <w:tc>
          <w:tcPr>
            <w:tcW w:w="540" w:type="dxa"/>
            <w:vAlign w:val="center"/>
          </w:tcPr>
          <w:p w14:paraId="6C947937">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白</w:t>
            </w:r>
          </w:p>
        </w:tc>
        <w:tc>
          <w:tcPr>
            <w:tcW w:w="540" w:type="dxa"/>
            <w:vAlign w:val="center"/>
          </w:tcPr>
          <w:p w14:paraId="7F5495C3">
            <w:pPr>
              <w:pStyle w:val="188"/>
              <w:autoSpaceDE w:val="0"/>
              <w:autoSpaceDN w:val="0"/>
              <w:spacing w:before="163" w:line="240" w:lineRule="auto"/>
              <w:ind w:right="434" w:rightChars="181"/>
              <w:jc w:val="center"/>
              <w:textAlignment w:val="bottom"/>
              <w:rPr>
                <w:color w:val="auto"/>
                <w:kern w:val="2"/>
                <w:sz w:val="21"/>
                <w:szCs w:val="21"/>
              </w:rPr>
            </w:pPr>
            <w:r>
              <w:rPr>
                <w:color w:val="auto"/>
                <w:kern w:val="2"/>
                <w:sz w:val="21"/>
                <w:szCs w:val="21"/>
              </w:rPr>
              <w:t>X</w:t>
            </w:r>
          </w:p>
          <w:p w14:paraId="24D04BFF">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y</w:t>
            </w:r>
          </w:p>
        </w:tc>
        <w:tc>
          <w:tcPr>
            <w:tcW w:w="1260" w:type="dxa"/>
            <w:vAlign w:val="center"/>
          </w:tcPr>
          <w:p w14:paraId="147A5434">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0.350</w:t>
            </w:r>
          </w:p>
          <w:p w14:paraId="0FA0936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0.360</w:t>
            </w:r>
          </w:p>
        </w:tc>
        <w:tc>
          <w:tcPr>
            <w:tcW w:w="1440" w:type="dxa"/>
            <w:vAlign w:val="center"/>
          </w:tcPr>
          <w:p w14:paraId="4E0D2A1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0.300</w:t>
            </w:r>
          </w:p>
          <w:p w14:paraId="783DC5EC">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0.310</w:t>
            </w:r>
          </w:p>
        </w:tc>
        <w:tc>
          <w:tcPr>
            <w:tcW w:w="1260" w:type="dxa"/>
            <w:vAlign w:val="center"/>
          </w:tcPr>
          <w:p w14:paraId="600798F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0.290</w:t>
            </w:r>
          </w:p>
          <w:p w14:paraId="1B4CE73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0.320</w:t>
            </w:r>
          </w:p>
        </w:tc>
        <w:tc>
          <w:tcPr>
            <w:tcW w:w="1260" w:type="dxa"/>
            <w:vAlign w:val="center"/>
          </w:tcPr>
          <w:p w14:paraId="7A6B894F">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0.340</w:t>
            </w:r>
          </w:p>
          <w:p w14:paraId="2D78175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0.370</w:t>
            </w:r>
          </w:p>
        </w:tc>
        <w:tc>
          <w:tcPr>
            <w:tcW w:w="1440" w:type="dxa"/>
            <w:vAlign w:val="center"/>
          </w:tcPr>
          <w:p w14:paraId="09A5C4F1">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≥75%</w:t>
            </w:r>
          </w:p>
        </w:tc>
      </w:tr>
      <w:tr w14:paraId="2357E2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19F70613">
            <w:pPr>
              <w:pStyle w:val="188"/>
              <w:autoSpaceDE w:val="0"/>
              <w:autoSpaceDN w:val="0"/>
              <w:spacing w:before="163" w:line="240" w:lineRule="auto"/>
              <w:ind w:right="434" w:rightChars="181"/>
              <w:jc w:val="center"/>
              <w:textAlignment w:val="bottom"/>
              <w:rPr>
                <w:color w:val="auto"/>
                <w:kern w:val="2"/>
                <w:sz w:val="21"/>
                <w:szCs w:val="21"/>
              </w:rPr>
            </w:pPr>
          </w:p>
        </w:tc>
        <w:tc>
          <w:tcPr>
            <w:tcW w:w="540" w:type="dxa"/>
            <w:vAlign w:val="center"/>
          </w:tcPr>
          <w:p w14:paraId="14CB7ED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黄</w:t>
            </w:r>
          </w:p>
        </w:tc>
        <w:tc>
          <w:tcPr>
            <w:tcW w:w="540" w:type="dxa"/>
            <w:vAlign w:val="center"/>
          </w:tcPr>
          <w:p w14:paraId="2C031D26">
            <w:pPr>
              <w:pStyle w:val="188"/>
              <w:autoSpaceDE w:val="0"/>
              <w:autoSpaceDN w:val="0"/>
              <w:spacing w:before="163" w:line="240" w:lineRule="auto"/>
              <w:ind w:right="434" w:rightChars="181"/>
              <w:jc w:val="center"/>
              <w:textAlignment w:val="bottom"/>
              <w:rPr>
                <w:color w:val="auto"/>
                <w:kern w:val="2"/>
                <w:sz w:val="21"/>
                <w:szCs w:val="21"/>
              </w:rPr>
            </w:pPr>
            <w:r>
              <w:rPr>
                <w:color w:val="auto"/>
                <w:kern w:val="2"/>
                <w:sz w:val="21"/>
                <w:szCs w:val="21"/>
              </w:rPr>
              <w:t>X</w:t>
            </w:r>
          </w:p>
          <w:p w14:paraId="4B49E3CD">
            <w:pPr>
              <w:pStyle w:val="188"/>
              <w:autoSpaceDE w:val="0"/>
              <w:autoSpaceDN w:val="0"/>
              <w:spacing w:before="163" w:line="240" w:lineRule="auto"/>
              <w:ind w:right="434" w:rightChars="181"/>
              <w:jc w:val="center"/>
              <w:textAlignment w:val="bottom"/>
              <w:rPr>
                <w:color w:val="auto"/>
                <w:kern w:val="2"/>
                <w:sz w:val="21"/>
                <w:szCs w:val="21"/>
              </w:rPr>
            </w:pPr>
            <w:r>
              <w:rPr>
                <w:color w:val="auto"/>
                <w:kern w:val="2"/>
                <w:sz w:val="21"/>
                <w:szCs w:val="21"/>
              </w:rPr>
              <w:t>Y</w:t>
            </w:r>
          </w:p>
        </w:tc>
        <w:tc>
          <w:tcPr>
            <w:tcW w:w="1260" w:type="dxa"/>
            <w:vAlign w:val="center"/>
          </w:tcPr>
          <w:p w14:paraId="7FB86F27">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0.531</w:t>
            </w:r>
          </w:p>
          <w:p w14:paraId="14F9297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0.468</w:t>
            </w:r>
          </w:p>
        </w:tc>
        <w:tc>
          <w:tcPr>
            <w:tcW w:w="1440" w:type="dxa"/>
            <w:vAlign w:val="center"/>
          </w:tcPr>
          <w:p w14:paraId="779BBDAA">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0.464</w:t>
            </w:r>
          </w:p>
          <w:p w14:paraId="6230DC71">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0.534</w:t>
            </w:r>
          </w:p>
        </w:tc>
        <w:tc>
          <w:tcPr>
            <w:tcW w:w="1260" w:type="dxa"/>
            <w:vAlign w:val="center"/>
          </w:tcPr>
          <w:p w14:paraId="740743E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0.427</w:t>
            </w:r>
          </w:p>
          <w:p w14:paraId="3CFFF24D">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0.483</w:t>
            </w:r>
          </w:p>
        </w:tc>
        <w:tc>
          <w:tcPr>
            <w:tcW w:w="1260" w:type="dxa"/>
            <w:vAlign w:val="center"/>
          </w:tcPr>
          <w:p w14:paraId="5C86B5BA">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0.477</w:t>
            </w:r>
          </w:p>
          <w:p w14:paraId="68A817D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0.433</w:t>
            </w:r>
          </w:p>
        </w:tc>
        <w:tc>
          <w:tcPr>
            <w:tcW w:w="1440" w:type="dxa"/>
            <w:vAlign w:val="center"/>
          </w:tcPr>
          <w:p w14:paraId="5E433C97">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≥45%</w:t>
            </w:r>
          </w:p>
        </w:tc>
      </w:tr>
      <w:tr w14:paraId="0B3206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8" w:type="dxa"/>
            <w:vMerge w:val="restart"/>
            <w:vAlign w:val="center"/>
          </w:tcPr>
          <w:p w14:paraId="4608902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逆反射材料色</w:t>
            </w:r>
          </w:p>
        </w:tc>
        <w:tc>
          <w:tcPr>
            <w:tcW w:w="540" w:type="dxa"/>
            <w:vAlign w:val="center"/>
          </w:tcPr>
          <w:p w14:paraId="6974ABEC">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白</w:t>
            </w:r>
          </w:p>
        </w:tc>
        <w:tc>
          <w:tcPr>
            <w:tcW w:w="540" w:type="dxa"/>
            <w:vAlign w:val="center"/>
          </w:tcPr>
          <w:p w14:paraId="44902E4A">
            <w:pPr>
              <w:pStyle w:val="188"/>
              <w:autoSpaceDE w:val="0"/>
              <w:autoSpaceDN w:val="0"/>
              <w:spacing w:before="163" w:line="240" w:lineRule="auto"/>
              <w:ind w:right="434" w:rightChars="181"/>
              <w:jc w:val="center"/>
              <w:textAlignment w:val="bottom"/>
              <w:rPr>
                <w:color w:val="auto"/>
                <w:kern w:val="2"/>
                <w:sz w:val="21"/>
                <w:szCs w:val="21"/>
              </w:rPr>
            </w:pPr>
            <w:r>
              <w:rPr>
                <w:color w:val="auto"/>
                <w:kern w:val="2"/>
                <w:sz w:val="21"/>
                <w:szCs w:val="21"/>
              </w:rPr>
              <w:t>X</w:t>
            </w:r>
          </w:p>
          <w:p w14:paraId="0D5344D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y</w:t>
            </w:r>
          </w:p>
        </w:tc>
        <w:tc>
          <w:tcPr>
            <w:tcW w:w="1260" w:type="dxa"/>
            <w:vAlign w:val="center"/>
          </w:tcPr>
          <w:p w14:paraId="3A14CD5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0.350</w:t>
            </w:r>
          </w:p>
          <w:p w14:paraId="553C9D4C">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0.360</w:t>
            </w:r>
          </w:p>
        </w:tc>
        <w:tc>
          <w:tcPr>
            <w:tcW w:w="1440" w:type="dxa"/>
            <w:vAlign w:val="center"/>
          </w:tcPr>
          <w:p w14:paraId="6A89C0DE">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0.300</w:t>
            </w:r>
          </w:p>
          <w:p w14:paraId="14DB0C5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0.310</w:t>
            </w:r>
          </w:p>
        </w:tc>
        <w:tc>
          <w:tcPr>
            <w:tcW w:w="1260" w:type="dxa"/>
            <w:vAlign w:val="center"/>
          </w:tcPr>
          <w:p w14:paraId="414800B1">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0.290</w:t>
            </w:r>
          </w:p>
          <w:p w14:paraId="7EB2C13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0.320</w:t>
            </w:r>
          </w:p>
        </w:tc>
        <w:tc>
          <w:tcPr>
            <w:tcW w:w="1260" w:type="dxa"/>
            <w:vAlign w:val="center"/>
          </w:tcPr>
          <w:p w14:paraId="6DDBE5E8">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0.340</w:t>
            </w:r>
          </w:p>
          <w:p w14:paraId="3F58DD91">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0.370</w:t>
            </w:r>
          </w:p>
        </w:tc>
        <w:tc>
          <w:tcPr>
            <w:tcW w:w="1440" w:type="dxa"/>
            <w:vAlign w:val="center"/>
          </w:tcPr>
          <w:p w14:paraId="236279E1">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≥35%</w:t>
            </w:r>
          </w:p>
        </w:tc>
      </w:tr>
      <w:tr w14:paraId="4BF455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368" w:type="dxa"/>
            <w:vMerge w:val="continue"/>
            <w:vAlign w:val="center"/>
          </w:tcPr>
          <w:p w14:paraId="47404D1A">
            <w:pPr>
              <w:pStyle w:val="188"/>
              <w:autoSpaceDE w:val="0"/>
              <w:autoSpaceDN w:val="0"/>
              <w:spacing w:before="163" w:line="240" w:lineRule="auto"/>
              <w:ind w:right="434" w:rightChars="181"/>
              <w:jc w:val="center"/>
              <w:textAlignment w:val="bottom"/>
              <w:rPr>
                <w:color w:val="auto"/>
                <w:kern w:val="2"/>
                <w:sz w:val="21"/>
                <w:szCs w:val="21"/>
              </w:rPr>
            </w:pPr>
          </w:p>
        </w:tc>
        <w:tc>
          <w:tcPr>
            <w:tcW w:w="540" w:type="dxa"/>
            <w:vAlign w:val="center"/>
          </w:tcPr>
          <w:p w14:paraId="669E5343">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黄</w:t>
            </w:r>
          </w:p>
        </w:tc>
        <w:tc>
          <w:tcPr>
            <w:tcW w:w="540" w:type="dxa"/>
            <w:vAlign w:val="center"/>
          </w:tcPr>
          <w:p w14:paraId="60918869">
            <w:pPr>
              <w:pStyle w:val="188"/>
              <w:autoSpaceDE w:val="0"/>
              <w:autoSpaceDN w:val="0"/>
              <w:spacing w:before="163" w:line="240" w:lineRule="auto"/>
              <w:ind w:right="434" w:rightChars="181"/>
              <w:jc w:val="center"/>
              <w:textAlignment w:val="bottom"/>
              <w:rPr>
                <w:color w:val="auto"/>
                <w:kern w:val="2"/>
                <w:sz w:val="21"/>
                <w:szCs w:val="21"/>
              </w:rPr>
            </w:pPr>
            <w:r>
              <w:rPr>
                <w:color w:val="auto"/>
                <w:kern w:val="2"/>
                <w:sz w:val="21"/>
                <w:szCs w:val="21"/>
              </w:rPr>
              <w:t>X</w:t>
            </w:r>
          </w:p>
          <w:p w14:paraId="72FD59A2">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y</w:t>
            </w:r>
          </w:p>
        </w:tc>
        <w:tc>
          <w:tcPr>
            <w:tcW w:w="1260" w:type="dxa"/>
            <w:vAlign w:val="center"/>
          </w:tcPr>
          <w:p w14:paraId="54C789BB">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0.531</w:t>
            </w:r>
          </w:p>
          <w:p w14:paraId="01CE6A8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0.468</w:t>
            </w:r>
          </w:p>
        </w:tc>
        <w:tc>
          <w:tcPr>
            <w:tcW w:w="1440" w:type="dxa"/>
            <w:vAlign w:val="center"/>
          </w:tcPr>
          <w:p w14:paraId="597EB43B">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0.464</w:t>
            </w:r>
          </w:p>
          <w:p w14:paraId="7702D6B9">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0.534</w:t>
            </w:r>
          </w:p>
        </w:tc>
        <w:tc>
          <w:tcPr>
            <w:tcW w:w="1260" w:type="dxa"/>
            <w:vAlign w:val="center"/>
          </w:tcPr>
          <w:p w14:paraId="65582CD5">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0.427</w:t>
            </w:r>
          </w:p>
          <w:p w14:paraId="03032DCA">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0.483</w:t>
            </w:r>
          </w:p>
        </w:tc>
        <w:tc>
          <w:tcPr>
            <w:tcW w:w="1260" w:type="dxa"/>
            <w:vAlign w:val="center"/>
          </w:tcPr>
          <w:p w14:paraId="678CAA0B">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0.477</w:t>
            </w:r>
          </w:p>
          <w:p w14:paraId="2CFB1616">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0.433</w:t>
            </w:r>
          </w:p>
        </w:tc>
        <w:tc>
          <w:tcPr>
            <w:tcW w:w="1440" w:type="dxa"/>
            <w:vAlign w:val="center"/>
          </w:tcPr>
          <w:p w14:paraId="6A9CE64C">
            <w:pPr>
              <w:pStyle w:val="188"/>
              <w:autoSpaceDE w:val="0"/>
              <w:autoSpaceDN w:val="0"/>
              <w:spacing w:before="163" w:line="240" w:lineRule="auto"/>
              <w:ind w:right="434" w:rightChars="181"/>
              <w:jc w:val="center"/>
              <w:textAlignment w:val="bottom"/>
              <w:rPr>
                <w:color w:val="auto"/>
                <w:kern w:val="2"/>
                <w:sz w:val="21"/>
                <w:szCs w:val="21"/>
              </w:rPr>
            </w:pPr>
            <w:r>
              <w:rPr>
                <w:rFonts w:hint="eastAsia"/>
                <w:color w:val="auto"/>
                <w:kern w:val="2"/>
                <w:sz w:val="21"/>
                <w:szCs w:val="21"/>
              </w:rPr>
              <w:t>≥27%</w:t>
            </w:r>
          </w:p>
        </w:tc>
      </w:tr>
    </w:tbl>
    <w:p w14:paraId="7C04D053">
      <w:pPr>
        <w:ind w:firstLine="480"/>
        <w:rPr>
          <w:rFonts w:hint="eastAsia"/>
          <w:color w:val="auto"/>
        </w:rPr>
      </w:pPr>
      <w:r>
        <w:rPr>
          <w:rFonts w:hint="eastAsia"/>
          <w:color w:val="auto"/>
        </w:rPr>
        <w:t>②标线在规定的使用期限内，不应出现明显的变色。</w:t>
      </w:r>
    </w:p>
    <w:p w14:paraId="5AA8BA37">
      <w:pPr>
        <w:ind w:firstLine="480"/>
        <w:rPr>
          <w:rFonts w:hint="eastAsia"/>
          <w:color w:val="auto"/>
          <w:lang w:val="zh-CN"/>
        </w:rPr>
      </w:pPr>
      <w:r>
        <w:rPr>
          <w:rFonts w:hint="eastAsia"/>
          <w:color w:val="auto"/>
          <w:lang w:val="zh-CN"/>
        </w:rPr>
        <w:t>（6）反光标线</w:t>
      </w:r>
    </w:p>
    <w:p w14:paraId="499F999B">
      <w:pPr>
        <w:ind w:firstLine="480"/>
        <w:rPr>
          <w:rFonts w:hint="eastAsia"/>
          <w:color w:val="auto"/>
          <w:lang w:val="zh-CN"/>
        </w:rPr>
      </w:pPr>
      <w:r>
        <w:rPr>
          <w:rFonts w:hint="eastAsia"/>
          <w:color w:val="auto"/>
          <w:lang w:val="zh-CN"/>
        </w:rPr>
        <w:t>撒布在标线上的玻璃微珠其质量和级配应符合有关国家标准或行业标准要求</w:t>
      </w:r>
    </w:p>
    <w:p w14:paraId="5A1F71D4">
      <w:pPr>
        <w:ind w:firstLine="480"/>
        <w:rPr>
          <w:rFonts w:hint="eastAsia"/>
          <w:color w:val="auto"/>
          <w:lang w:val="zh-CN"/>
        </w:rPr>
      </w:pPr>
      <w:r>
        <w:rPr>
          <w:rFonts w:hint="eastAsia"/>
          <w:color w:val="auto"/>
          <w:lang w:val="zh-CN"/>
        </w:rPr>
        <w:t>反光标线面撒玻璃微珠应分布均匀，含量为0.3~0.34kg/m2。</w:t>
      </w:r>
    </w:p>
    <w:p w14:paraId="3DDDEE30">
      <w:pPr>
        <w:ind w:firstLine="480"/>
        <w:rPr>
          <w:rFonts w:hint="eastAsia"/>
          <w:color w:val="auto"/>
          <w:lang w:val="zh-CN"/>
        </w:rPr>
      </w:pPr>
      <w:r>
        <w:rPr>
          <w:rFonts w:hint="eastAsia"/>
          <w:color w:val="auto"/>
          <w:lang w:val="zh-CN"/>
        </w:rPr>
        <w:t>白色反光标线的逆反射系数应不小于200 mcd.lx-1.m-2;黄色标线的逆反射系数应不小于100 mcd.lx-1.m-2。</w:t>
      </w:r>
    </w:p>
    <w:p w14:paraId="1D982C7F">
      <w:pPr>
        <w:ind w:firstLine="480"/>
        <w:rPr>
          <w:color w:val="auto"/>
          <w:lang w:val="zh-CN"/>
        </w:rPr>
      </w:pPr>
      <w:r>
        <w:rPr>
          <w:rFonts w:hint="eastAsia"/>
          <w:color w:val="auto"/>
          <w:lang w:val="zh-CN"/>
        </w:rPr>
        <w:t>（7）标线使用寿命</w:t>
      </w:r>
    </w:p>
    <w:p w14:paraId="0A2FF3C6">
      <w:pPr>
        <w:ind w:firstLine="480"/>
        <w:rPr>
          <w:rFonts w:hint="eastAsia"/>
          <w:color w:val="auto"/>
          <w:lang w:val="zh-CN"/>
        </w:rPr>
      </w:pPr>
      <w:r>
        <w:rPr>
          <w:rFonts w:hint="eastAsia"/>
          <w:color w:val="auto"/>
          <w:lang w:val="zh-CN"/>
        </w:rPr>
        <w:t>①沥青混合料路面热熔型涂料标线</w:t>
      </w:r>
    </w:p>
    <w:p w14:paraId="70DCDC9F">
      <w:pPr>
        <w:ind w:firstLine="480"/>
        <w:rPr>
          <w:rFonts w:hint="eastAsia"/>
          <w:color w:val="auto"/>
          <w:lang w:val="zh-CN"/>
        </w:rPr>
      </w:pPr>
      <w:r>
        <w:rPr>
          <w:rFonts w:hint="eastAsia"/>
          <w:color w:val="auto"/>
          <w:lang w:val="zh-CN"/>
        </w:rPr>
        <w:t xml:space="preserve">   ≥36月</w:t>
      </w:r>
    </w:p>
    <w:p w14:paraId="6BCD74B4">
      <w:pPr>
        <w:ind w:firstLine="480"/>
        <w:rPr>
          <w:rFonts w:hint="eastAsia"/>
          <w:color w:val="auto"/>
          <w:lang w:val="zh-CN"/>
        </w:rPr>
      </w:pPr>
      <w:r>
        <w:rPr>
          <w:rFonts w:hint="eastAsia"/>
          <w:color w:val="auto"/>
          <w:lang w:val="zh-CN"/>
        </w:rPr>
        <w:t xml:space="preserve">②水泥混凝土路面热熔型涂料标线        </w:t>
      </w:r>
    </w:p>
    <w:p w14:paraId="3BC76EE6">
      <w:pPr>
        <w:ind w:firstLine="480"/>
        <w:rPr>
          <w:rFonts w:hint="eastAsia"/>
          <w:color w:val="auto"/>
          <w:lang w:val="zh-CN"/>
        </w:rPr>
      </w:pPr>
      <w:r>
        <w:rPr>
          <w:rFonts w:hint="eastAsia"/>
          <w:color w:val="auto"/>
          <w:lang w:val="zh-CN"/>
        </w:rPr>
        <w:t>≥24月</w:t>
      </w:r>
    </w:p>
    <w:p w14:paraId="45F3BB86">
      <w:pPr>
        <w:ind w:firstLine="480"/>
        <w:rPr>
          <w:rFonts w:hint="eastAsia"/>
          <w:color w:val="auto"/>
          <w:lang w:val="zh-CN"/>
        </w:rPr>
      </w:pPr>
      <w:r>
        <w:rPr>
          <w:rFonts w:hint="eastAsia"/>
          <w:color w:val="auto"/>
          <w:lang w:val="zh-CN"/>
        </w:rPr>
        <w:t>（8）热熔型标线涂料的技术要求应符合以下表3规定：</w:t>
      </w:r>
    </w:p>
    <w:p w14:paraId="42CBD380">
      <w:pPr>
        <w:pStyle w:val="188"/>
        <w:autoSpaceDE w:val="0"/>
        <w:autoSpaceDN w:val="0"/>
        <w:spacing w:before="163"/>
        <w:ind w:right="434" w:rightChars="181" w:firstLine="573"/>
        <w:jc w:val="center"/>
        <w:textAlignment w:val="bottom"/>
        <w:rPr>
          <w:b/>
          <w:color w:val="auto"/>
          <w:kern w:val="2"/>
        </w:rPr>
      </w:pPr>
      <w:r>
        <w:rPr>
          <w:rFonts w:hint="eastAsia"/>
          <w:b/>
          <w:color w:val="auto"/>
          <w:kern w:val="2"/>
        </w:rPr>
        <w:t>表3  热熔型标线涂料的技术要求</w:t>
      </w:r>
    </w:p>
    <w:tbl>
      <w:tblPr>
        <w:tblStyle w:val="8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25"/>
        <w:gridCol w:w="890"/>
        <w:gridCol w:w="4927"/>
      </w:tblGrid>
      <w:tr w14:paraId="56D23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61" w:type="dxa"/>
            <w:gridSpan w:val="2"/>
            <w:vMerge w:val="restart"/>
            <w:tcBorders>
              <w:top w:val="single" w:color="auto" w:sz="12" w:space="0"/>
              <w:left w:val="single" w:color="auto" w:sz="12" w:space="0"/>
              <w:tl2br w:val="single" w:color="auto" w:sz="4" w:space="0"/>
            </w:tcBorders>
            <w:vAlign w:val="center"/>
          </w:tcPr>
          <w:p w14:paraId="62453720">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 xml:space="preserve">                         种类</w:t>
            </w:r>
          </w:p>
          <w:p w14:paraId="76D9AF8A">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项目</w:t>
            </w:r>
          </w:p>
        </w:tc>
        <w:tc>
          <w:tcPr>
            <w:tcW w:w="4927" w:type="dxa"/>
            <w:tcBorders>
              <w:top w:val="single" w:color="auto" w:sz="12" w:space="0"/>
              <w:right w:val="single" w:color="auto" w:sz="12" w:space="0"/>
            </w:tcBorders>
            <w:vAlign w:val="center"/>
          </w:tcPr>
          <w:p w14:paraId="6E7FD928">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热熔型涂料</w:t>
            </w:r>
          </w:p>
        </w:tc>
      </w:tr>
      <w:tr w14:paraId="60726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4361" w:type="dxa"/>
            <w:gridSpan w:val="2"/>
            <w:vMerge w:val="continue"/>
            <w:tcBorders>
              <w:left w:val="single" w:color="auto" w:sz="12" w:space="0"/>
              <w:tl2br w:val="single" w:color="auto" w:sz="4" w:space="0"/>
            </w:tcBorders>
            <w:vAlign w:val="center"/>
          </w:tcPr>
          <w:p w14:paraId="18EF61E1">
            <w:pPr>
              <w:pStyle w:val="188"/>
              <w:autoSpaceDE w:val="0"/>
              <w:autoSpaceDN w:val="0"/>
              <w:spacing w:before="163" w:line="240" w:lineRule="auto"/>
              <w:ind w:right="434" w:rightChars="181"/>
              <w:jc w:val="center"/>
              <w:textAlignment w:val="bottom"/>
              <w:rPr>
                <w:color w:val="auto"/>
                <w:kern w:val="2"/>
              </w:rPr>
            </w:pPr>
          </w:p>
        </w:tc>
        <w:tc>
          <w:tcPr>
            <w:tcW w:w="4927" w:type="dxa"/>
            <w:tcBorders>
              <w:right w:val="single" w:color="auto" w:sz="12" w:space="0"/>
            </w:tcBorders>
            <w:vAlign w:val="center"/>
          </w:tcPr>
          <w:p w14:paraId="25AEF8B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B</w:t>
            </w:r>
          </w:p>
        </w:tc>
      </w:tr>
      <w:tr w14:paraId="2AE52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14CF5F0F">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相对密度（g/cm</w:t>
            </w:r>
            <w:r>
              <w:rPr>
                <w:rFonts w:hint="eastAsia"/>
                <w:color w:val="auto"/>
                <w:kern w:val="2"/>
                <w:vertAlign w:val="superscript"/>
              </w:rPr>
              <w:t>3</w:t>
            </w:r>
            <w:r>
              <w:rPr>
                <w:rFonts w:hint="eastAsia"/>
                <w:color w:val="auto"/>
                <w:kern w:val="2"/>
              </w:rPr>
              <w:t>）</w:t>
            </w:r>
          </w:p>
        </w:tc>
        <w:tc>
          <w:tcPr>
            <w:tcW w:w="4927" w:type="dxa"/>
            <w:tcBorders>
              <w:right w:val="single" w:color="auto" w:sz="12" w:space="0"/>
            </w:tcBorders>
            <w:vAlign w:val="center"/>
          </w:tcPr>
          <w:p w14:paraId="7A03BFFC">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1.8-2.3</w:t>
            </w:r>
          </w:p>
        </w:tc>
      </w:tr>
      <w:tr w14:paraId="09529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4F58B610">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软化点（℃）</w:t>
            </w:r>
          </w:p>
        </w:tc>
        <w:tc>
          <w:tcPr>
            <w:tcW w:w="4927" w:type="dxa"/>
            <w:tcBorders>
              <w:right w:val="single" w:color="auto" w:sz="12" w:space="0"/>
            </w:tcBorders>
            <w:vAlign w:val="center"/>
          </w:tcPr>
          <w:p w14:paraId="0D7A866B">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90-140</w:t>
            </w:r>
          </w:p>
        </w:tc>
      </w:tr>
      <w:tr w14:paraId="67C33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15E8490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涂膜颜色及外观</w:t>
            </w:r>
          </w:p>
        </w:tc>
        <w:tc>
          <w:tcPr>
            <w:tcW w:w="4927" w:type="dxa"/>
            <w:tcBorders>
              <w:right w:val="single" w:color="auto" w:sz="12" w:space="0"/>
            </w:tcBorders>
            <w:vAlign w:val="center"/>
          </w:tcPr>
          <w:p w14:paraId="63E98601">
            <w:pPr>
              <w:pStyle w:val="188"/>
              <w:autoSpaceDE w:val="0"/>
              <w:autoSpaceDN w:val="0"/>
              <w:spacing w:before="163" w:line="240" w:lineRule="auto"/>
              <w:ind w:right="434" w:rightChars="181"/>
              <w:textAlignment w:val="bottom"/>
              <w:rPr>
                <w:color w:val="auto"/>
                <w:kern w:val="2"/>
              </w:rPr>
            </w:pPr>
            <w:r>
              <w:rPr>
                <w:rFonts w:hint="eastAsia"/>
                <w:color w:val="auto"/>
                <w:kern w:val="2"/>
              </w:rPr>
              <w:t>涂膜冷却后应无皱纹、斑点、起跑、裂纹、脱落及表面无发粘等现象，颜色范围应符合GB/T 8416-2003的规定</w:t>
            </w:r>
          </w:p>
        </w:tc>
      </w:tr>
      <w:tr w14:paraId="70E9F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4F5F47BA">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不粘胎干燥时间（min）</w:t>
            </w:r>
          </w:p>
        </w:tc>
        <w:tc>
          <w:tcPr>
            <w:tcW w:w="4927" w:type="dxa"/>
            <w:tcBorders>
              <w:right w:val="single" w:color="auto" w:sz="12" w:space="0"/>
            </w:tcBorders>
            <w:vAlign w:val="center"/>
          </w:tcPr>
          <w:p w14:paraId="2E52C2C9">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≤3</w:t>
            </w:r>
          </w:p>
        </w:tc>
      </w:tr>
      <w:tr w14:paraId="3FC43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199A0FEE">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抗压强度，MPa</w:t>
            </w:r>
          </w:p>
        </w:tc>
        <w:tc>
          <w:tcPr>
            <w:tcW w:w="4927" w:type="dxa"/>
            <w:tcBorders>
              <w:right w:val="single" w:color="auto" w:sz="12" w:space="0"/>
            </w:tcBorders>
            <w:vAlign w:val="center"/>
          </w:tcPr>
          <w:p w14:paraId="500979F4">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≥12</w:t>
            </w:r>
          </w:p>
        </w:tc>
      </w:tr>
      <w:tr w14:paraId="4371D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57F96C45">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耐磨性,（1000g，200r）/mg</w:t>
            </w:r>
          </w:p>
        </w:tc>
        <w:tc>
          <w:tcPr>
            <w:tcW w:w="4927" w:type="dxa"/>
            <w:tcBorders>
              <w:right w:val="single" w:color="auto" w:sz="12" w:space="0"/>
            </w:tcBorders>
            <w:vAlign w:val="center"/>
          </w:tcPr>
          <w:p w14:paraId="1BB712EB">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≤60</w:t>
            </w:r>
          </w:p>
        </w:tc>
      </w:tr>
      <w:tr w14:paraId="37CC0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275D98C2">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白色度</w:t>
            </w:r>
          </w:p>
        </w:tc>
        <w:tc>
          <w:tcPr>
            <w:tcW w:w="4927" w:type="dxa"/>
            <w:tcBorders>
              <w:right w:val="single" w:color="auto" w:sz="12" w:space="0"/>
            </w:tcBorders>
            <w:vAlign w:val="center"/>
          </w:tcPr>
          <w:p w14:paraId="2B49470C">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≥65</w:t>
            </w:r>
          </w:p>
        </w:tc>
      </w:tr>
      <w:tr w14:paraId="5E71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461406E8">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耐碱性</w:t>
            </w:r>
          </w:p>
        </w:tc>
        <w:tc>
          <w:tcPr>
            <w:tcW w:w="4927" w:type="dxa"/>
            <w:tcBorders>
              <w:right w:val="single" w:color="auto" w:sz="12" w:space="0"/>
            </w:tcBorders>
            <w:vAlign w:val="center"/>
          </w:tcPr>
          <w:p w14:paraId="43514621">
            <w:pPr>
              <w:pStyle w:val="188"/>
              <w:autoSpaceDE w:val="0"/>
              <w:autoSpaceDN w:val="0"/>
              <w:spacing w:before="163" w:line="240" w:lineRule="auto"/>
              <w:ind w:right="434" w:rightChars="181"/>
              <w:textAlignment w:val="bottom"/>
              <w:rPr>
                <w:color w:val="auto"/>
                <w:kern w:val="2"/>
              </w:rPr>
            </w:pPr>
            <w:r>
              <w:rPr>
                <w:rFonts w:hint="eastAsia"/>
                <w:color w:val="auto"/>
                <w:kern w:val="2"/>
              </w:rPr>
              <w:t>在氢氧化钙饱和溶液中浸泡18h应无开裂、起泡、孔隙、剥离、起皱等异常现象</w:t>
            </w:r>
          </w:p>
        </w:tc>
      </w:tr>
      <w:tr w14:paraId="6690F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1" w:type="dxa"/>
            <w:gridSpan w:val="2"/>
            <w:tcBorders>
              <w:left w:val="single" w:color="auto" w:sz="12" w:space="0"/>
            </w:tcBorders>
            <w:vAlign w:val="center"/>
          </w:tcPr>
          <w:p w14:paraId="27A50C90">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加热残留份（%）</w:t>
            </w:r>
          </w:p>
        </w:tc>
        <w:tc>
          <w:tcPr>
            <w:tcW w:w="4927" w:type="dxa"/>
            <w:tcBorders>
              <w:right w:val="single" w:color="auto" w:sz="12" w:space="0"/>
            </w:tcBorders>
            <w:vAlign w:val="center"/>
          </w:tcPr>
          <w:p w14:paraId="2BBECD3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≥99</w:t>
            </w:r>
          </w:p>
        </w:tc>
      </w:tr>
      <w:tr w14:paraId="3135F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5" w:type="dxa"/>
            <w:vMerge w:val="restart"/>
            <w:tcBorders>
              <w:left w:val="single" w:color="auto" w:sz="12" w:space="0"/>
            </w:tcBorders>
            <w:vAlign w:val="center"/>
          </w:tcPr>
          <w:p w14:paraId="7EB0C6C9">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逆反射系数</w:t>
            </w:r>
          </w:p>
          <w:p w14:paraId="1635E44C">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mcd.lx</w:t>
            </w:r>
            <w:r>
              <w:rPr>
                <w:rFonts w:hint="eastAsia"/>
                <w:color w:val="auto"/>
                <w:kern w:val="2"/>
                <w:vertAlign w:val="superscript"/>
              </w:rPr>
              <w:t>-1</w:t>
            </w:r>
            <w:r>
              <w:rPr>
                <w:rFonts w:hint="eastAsia"/>
                <w:color w:val="auto"/>
                <w:kern w:val="2"/>
              </w:rPr>
              <w:t>.m</w:t>
            </w:r>
            <w:r>
              <w:rPr>
                <w:rFonts w:hint="eastAsia"/>
                <w:color w:val="auto"/>
                <w:kern w:val="2"/>
                <w:vertAlign w:val="superscript"/>
              </w:rPr>
              <w:t>-2</w:t>
            </w:r>
          </w:p>
        </w:tc>
        <w:tc>
          <w:tcPr>
            <w:tcW w:w="836" w:type="dxa"/>
            <w:vAlign w:val="center"/>
          </w:tcPr>
          <w:p w14:paraId="5D10A107">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白</w:t>
            </w:r>
          </w:p>
        </w:tc>
        <w:tc>
          <w:tcPr>
            <w:tcW w:w="4927" w:type="dxa"/>
            <w:tcBorders>
              <w:right w:val="single" w:color="auto" w:sz="12" w:space="0"/>
            </w:tcBorders>
            <w:vAlign w:val="center"/>
          </w:tcPr>
          <w:p w14:paraId="48B5FBC2">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≥200</w:t>
            </w:r>
          </w:p>
        </w:tc>
      </w:tr>
      <w:tr w14:paraId="48454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5" w:type="dxa"/>
            <w:vMerge w:val="continue"/>
            <w:tcBorders>
              <w:left w:val="single" w:color="auto" w:sz="12" w:space="0"/>
              <w:bottom w:val="single" w:color="auto" w:sz="12" w:space="0"/>
            </w:tcBorders>
            <w:vAlign w:val="center"/>
          </w:tcPr>
          <w:p w14:paraId="48F3DB8D">
            <w:pPr>
              <w:pStyle w:val="188"/>
              <w:autoSpaceDE w:val="0"/>
              <w:autoSpaceDN w:val="0"/>
              <w:spacing w:before="163" w:line="240" w:lineRule="auto"/>
              <w:ind w:right="434" w:rightChars="181"/>
              <w:jc w:val="center"/>
              <w:textAlignment w:val="bottom"/>
              <w:rPr>
                <w:color w:val="auto"/>
                <w:kern w:val="2"/>
              </w:rPr>
            </w:pPr>
          </w:p>
        </w:tc>
        <w:tc>
          <w:tcPr>
            <w:tcW w:w="836" w:type="dxa"/>
            <w:tcBorders>
              <w:bottom w:val="single" w:color="auto" w:sz="12" w:space="0"/>
            </w:tcBorders>
            <w:vAlign w:val="center"/>
          </w:tcPr>
          <w:p w14:paraId="032B29F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黄</w:t>
            </w:r>
          </w:p>
        </w:tc>
        <w:tc>
          <w:tcPr>
            <w:tcW w:w="4927" w:type="dxa"/>
            <w:tcBorders>
              <w:bottom w:val="single" w:color="auto" w:sz="12" w:space="0"/>
              <w:right w:val="single" w:color="auto" w:sz="12" w:space="0"/>
            </w:tcBorders>
            <w:vAlign w:val="center"/>
          </w:tcPr>
          <w:p w14:paraId="64225FC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≥100</w:t>
            </w:r>
          </w:p>
        </w:tc>
      </w:tr>
    </w:tbl>
    <w:p w14:paraId="78B27E15">
      <w:pPr>
        <w:pStyle w:val="188"/>
        <w:autoSpaceDE w:val="0"/>
        <w:autoSpaceDN w:val="0"/>
        <w:spacing w:before="163"/>
        <w:ind w:right="434" w:rightChars="181" w:firstLine="573"/>
        <w:textAlignment w:val="bottom"/>
        <w:rPr>
          <w:color w:val="auto"/>
          <w:kern w:val="2"/>
        </w:rPr>
      </w:pPr>
      <w:r>
        <w:rPr>
          <w:rFonts w:hint="eastAsia"/>
          <w:color w:val="auto"/>
          <w:kern w:val="2"/>
        </w:rPr>
        <w:t>（9）玻璃珠的技术要求应符合以下表4规定：</w:t>
      </w:r>
    </w:p>
    <w:p w14:paraId="7BA578BC">
      <w:pPr>
        <w:pStyle w:val="188"/>
        <w:autoSpaceDE w:val="0"/>
        <w:autoSpaceDN w:val="0"/>
        <w:spacing w:before="163"/>
        <w:ind w:right="434" w:rightChars="181" w:firstLine="573"/>
        <w:jc w:val="center"/>
        <w:textAlignment w:val="bottom"/>
        <w:rPr>
          <w:b/>
          <w:color w:val="auto"/>
          <w:kern w:val="2"/>
        </w:rPr>
      </w:pPr>
      <w:r>
        <w:rPr>
          <w:rFonts w:hint="eastAsia"/>
          <w:b/>
          <w:color w:val="auto"/>
          <w:kern w:val="2"/>
        </w:rPr>
        <w:t>表4　玻璃珠技术要求</w:t>
      </w:r>
    </w:p>
    <w:tbl>
      <w:tblPr>
        <w:tblStyle w:val="88"/>
        <w:tblW w:w="48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782"/>
        <w:gridCol w:w="2743"/>
        <w:gridCol w:w="3153"/>
      </w:tblGrid>
      <w:tr w14:paraId="161C8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l2br w:val="single" w:color="auto" w:sz="4" w:space="0"/>
            </w:tcBorders>
          </w:tcPr>
          <w:p w14:paraId="237EA9B9">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 xml:space="preserve">               种类</w:t>
            </w:r>
          </w:p>
          <w:p w14:paraId="24D18A0A">
            <w:pPr>
              <w:pStyle w:val="188"/>
              <w:autoSpaceDE w:val="0"/>
              <w:autoSpaceDN w:val="0"/>
              <w:spacing w:before="163" w:line="240" w:lineRule="auto"/>
              <w:ind w:right="434" w:rightChars="181" w:firstLine="480" w:firstLineChars="200"/>
              <w:textAlignment w:val="bottom"/>
              <w:rPr>
                <w:color w:val="auto"/>
                <w:kern w:val="2"/>
              </w:rPr>
            </w:pPr>
            <w:r>
              <w:rPr>
                <w:rFonts w:hint="eastAsia"/>
                <w:color w:val="auto"/>
                <w:kern w:val="2"/>
              </w:rPr>
              <w:t>项目</w:t>
            </w:r>
          </w:p>
        </w:tc>
        <w:tc>
          <w:tcPr>
            <w:tcW w:w="3046" w:type="pct"/>
            <w:gridSpan w:val="2"/>
            <w:tcBorders>
              <w:right w:val="single" w:color="auto" w:sz="4" w:space="0"/>
            </w:tcBorders>
            <w:vAlign w:val="center"/>
          </w:tcPr>
          <w:p w14:paraId="0161DEB5">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B</w:t>
            </w:r>
          </w:p>
        </w:tc>
      </w:tr>
      <w:tr w14:paraId="141E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cBorders>
            <w:vAlign w:val="center"/>
          </w:tcPr>
          <w:p w14:paraId="0EEB93F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容器中玻璃珠状态</w:t>
            </w:r>
          </w:p>
        </w:tc>
        <w:tc>
          <w:tcPr>
            <w:tcW w:w="3046" w:type="pct"/>
            <w:gridSpan w:val="2"/>
            <w:tcBorders>
              <w:right w:val="single" w:color="auto" w:sz="4" w:space="0"/>
            </w:tcBorders>
            <w:vAlign w:val="center"/>
          </w:tcPr>
          <w:p w14:paraId="73ADE72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粒状或松散团状</w:t>
            </w:r>
          </w:p>
        </w:tc>
      </w:tr>
      <w:tr w14:paraId="1125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cBorders>
            <w:vAlign w:val="center"/>
          </w:tcPr>
          <w:p w14:paraId="75165B4D">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密度（在23℃±2℃的二甲苯中）</w:t>
            </w:r>
          </w:p>
        </w:tc>
        <w:tc>
          <w:tcPr>
            <w:tcW w:w="3046" w:type="pct"/>
            <w:gridSpan w:val="2"/>
            <w:tcBorders>
              <w:right w:val="single" w:color="auto" w:sz="4" w:space="0"/>
            </w:tcBorders>
            <w:vAlign w:val="center"/>
          </w:tcPr>
          <w:p w14:paraId="04DC6F87">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2.4~2.6</w:t>
            </w:r>
          </w:p>
        </w:tc>
      </w:tr>
      <w:tr w14:paraId="3FE39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vMerge w:val="restart"/>
            <w:tcBorders>
              <w:left w:val="single" w:color="auto" w:sz="4" w:space="0"/>
            </w:tcBorders>
            <w:vAlign w:val="center"/>
          </w:tcPr>
          <w:p w14:paraId="241F2E4D">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粒径</w:t>
            </w:r>
          </w:p>
        </w:tc>
        <w:tc>
          <w:tcPr>
            <w:tcW w:w="1417" w:type="pct"/>
            <w:vAlign w:val="center"/>
          </w:tcPr>
          <w:p w14:paraId="40C9E87C">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标准筛筛号（目）</w:t>
            </w:r>
          </w:p>
        </w:tc>
        <w:tc>
          <w:tcPr>
            <w:tcW w:w="1629" w:type="pct"/>
            <w:tcBorders>
              <w:right w:val="single" w:color="auto" w:sz="4" w:space="0"/>
            </w:tcBorders>
            <w:vAlign w:val="center"/>
          </w:tcPr>
          <w:p w14:paraId="25326F8F">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筛余物（%）</w:t>
            </w:r>
          </w:p>
        </w:tc>
      </w:tr>
      <w:tr w14:paraId="218CE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vMerge w:val="continue"/>
            <w:tcBorders>
              <w:left w:val="single" w:color="auto" w:sz="4" w:space="0"/>
            </w:tcBorders>
            <w:vAlign w:val="center"/>
          </w:tcPr>
          <w:p w14:paraId="44B2ADDC">
            <w:pPr>
              <w:pStyle w:val="188"/>
              <w:autoSpaceDE w:val="0"/>
              <w:autoSpaceDN w:val="0"/>
              <w:spacing w:before="163" w:line="240" w:lineRule="auto"/>
              <w:ind w:right="434" w:rightChars="181"/>
              <w:jc w:val="center"/>
              <w:textAlignment w:val="bottom"/>
              <w:rPr>
                <w:color w:val="auto"/>
                <w:kern w:val="2"/>
              </w:rPr>
            </w:pPr>
          </w:p>
        </w:tc>
        <w:tc>
          <w:tcPr>
            <w:tcW w:w="1417" w:type="pct"/>
            <w:vAlign w:val="center"/>
          </w:tcPr>
          <w:p w14:paraId="18256E4A">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30</w:t>
            </w:r>
          </w:p>
        </w:tc>
        <w:tc>
          <w:tcPr>
            <w:tcW w:w="1629" w:type="pct"/>
            <w:tcBorders>
              <w:right w:val="single" w:color="auto" w:sz="4" w:space="0"/>
            </w:tcBorders>
            <w:vAlign w:val="center"/>
          </w:tcPr>
          <w:p w14:paraId="32E0230D">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0</w:t>
            </w:r>
          </w:p>
        </w:tc>
      </w:tr>
      <w:tr w14:paraId="1B21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vMerge w:val="continue"/>
            <w:tcBorders>
              <w:left w:val="single" w:color="auto" w:sz="4" w:space="0"/>
            </w:tcBorders>
            <w:vAlign w:val="center"/>
          </w:tcPr>
          <w:p w14:paraId="0F45AEF1">
            <w:pPr>
              <w:pStyle w:val="188"/>
              <w:autoSpaceDE w:val="0"/>
              <w:autoSpaceDN w:val="0"/>
              <w:spacing w:before="163" w:line="240" w:lineRule="auto"/>
              <w:ind w:right="434" w:rightChars="181"/>
              <w:jc w:val="center"/>
              <w:textAlignment w:val="bottom"/>
              <w:rPr>
                <w:color w:val="auto"/>
                <w:kern w:val="2"/>
              </w:rPr>
            </w:pPr>
          </w:p>
        </w:tc>
        <w:tc>
          <w:tcPr>
            <w:tcW w:w="1417" w:type="pct"/>
            <w:vAlign w:val="center"/>
          </w:tcPr>
          <w:p w14:paraId="26DF7B4F">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30~50</w:t>
            </w:r>
          </w:p>
        </w:tc>
        <w:tc>
          <w:tcPr>
            <w:tcW w:w="1629" w:type="pct"/>
            <w:tcBorders>
              <w:right w:val="single" w:color="auto" w:sz="4" w:space="0"/>
            </w:tcBorders>
            <w:vAlign w:val="center"/>
          </w:tcPr>
          <w:p w14:paraId="45882FC0">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40~90</w:t>
            </w:r>
          </w:p>
        </w:tc>
      </w:tr>
      <w:tr w14:paraId="232F1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vMerge w:val="continue"/>
            <w:tcBorders>
              <w:left w:val="single" w:color="auto" w:sz="4" w:space="0"/>
            </w:tcBorders>
            <w:vAlign w:val="center"/>
          </w:tcPr>
          <w:p w14:paraId="7E26DFC7">
            <w:pPr>
              <w:pStyle w:val="188"/>
              <w:autoSpaceDE w:val="0"/>
              <w:autoSpaceDN w:val="0"/>
              <w:spacing w:before="163" w:line="240" w:lineRule="auto"/>
              <w:ind w:right="434" w:rightChars="181"/>
              <w:jc w:val="center"/>
              <w:textAlignment w:val="bottom"/>
              <w:rPr>
                <w:color w:val="auto"/>
                <w:kern w:val="2"/>
              </w:rPr>
            </w:pPr>
          </w:p>
        </w:tc>
        <w:tc>
          <w:tcPr>
            <w:tcW w:w="1417" w:type="pct"/>
            <w:vAlign w:val="center"/>
          </w:tcPr>
          <w:p w14:paraId="74A93E50">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100</w:t>
            </w:r>
          </w:p>
        </w:tc>
        <w:tc>
          <w:tcPr>
            <w:tcW w:w="1629" w:type="pct"/>
            <w:tcBorders>
              <w:right w:val="single" w:color="auto" w:sz="4" w:space="0"/>
            </w:tcBorders>
            <w:vAlign w:val="center"/>
          </w:tcPr>
          <w:p w14:paraId="450354D2">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95~100</w:t>
            </w:r>
          </w:p>
        </w:tc>
      </w:tr>
      <w:tr w14:paraId="533C1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cBorders>
            <w:vAlign w:val="center"/>
          </w:tcPr>
          <w:p w14:paraId="6079D9D7">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外观</w:t>
            </w:r>
          </w:p>
        </w:tc>
        <w:tc>
          <w:tcPr>
            <w:tcW w:w="3046" w:type="pct"/>
            <w:gridSpan w:val="2"/>
            <w:tcBorders>
              <w:right w:val="single" w:color="auto" w:sz="4" w:space="0"/>
            </w:tcBorders>
            <w:vAlign w:val="center"/>
          </w:tcPr>
          <w:p w14:paraId="4988A141">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无色透明球状,扩大10~50倍观察时,熔融团、片状、尖状物，有色气泡等瑕疵珠不应超过总量的20%。</w:t>
            </w:r>
          </w:p>
        </w:tc>
      </w:tr>
      <w:tr w14:paraId="56BAC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cBorders>
            <w:vAlign w:val="center"/>
          </w:tcPr>
          <w:p w14:paraId="5BF0B797">
            <w:pPr>
              <w:pStyle w:val="188"/>
              <w:autoSpaceDE w:val="0"/>
              <w:autoSpaceDN w:val="0"/>
              <w:spacing w:before="163" w:line="240" w:lineRule="auto"/>
              <w:ind w:right="434" w:rightChars="181" w:firstLine="600" w:firstLineChars="250"/>
              <w:textAlignment w:val="bottom"/>
              <w:rPr>
                <w:color w:val="auto"/>
                <w:kern w:val="2"/>
              </w:rPr>
            </w:pPr>
            <w:r>
              <w:rPr>
                <w:rFonts w:hint="eastAsia"/>
                <w:color w:val="auto"/>
                <w:kern w:val="2"/>
              </w:rPr>
              <w:t>折射率（20Cf浸渍法）</w:t>
            </w:r>
          </w:p>
        </w:tc>
        <w:tc>
          <w:tcPr>
            <w:tcW w:w="3046" w:type="pct"/>
            <w:gridSpan w:val="2"/>
            <w:tcBorders>
              <w:right w:val="single" w:color="auto" w:sz="4" w:space="0"/>
            </w:tcBorders>
            <w:vAlign w:val="center"/>
          </w:tcPr>
          <w:p w14:paraId="3C300774">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≥1.5</w:t>
            </w:r>
          </w:p>
        </w:tc>
      </w:tr>
      <w:tr w14:paraId="1DE9E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4" w:type="pct"/>
            <w:tcBorders>
              <w:left w:val="single" w:color="auto" w:sz="4" w:space="0"/>
            </w:tcBorders>
            <w:vAlign w:val="center"/>
          </w:tcPr>
          <w:p w14:paraId="5EF52A72">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耐水性</w:t>
            </w:r>
          </w:p>
        </w:tc>
        <w:tc>
          <w:tcPr>
            <w:tcW w:w="3046" w:type="pct"/>
            <w:gridSpan w:val="2"/>
            <w:tcBorders>
              <w:right w:val="single" w:color="auto" w:sz="4" w:space="0"/>
            </w:tcBorders>
            <w:vAlign w:val="center"/>
          </w:tcPr>
          <w:p w14:paraId="3A8E86E2">
            <w:pPr>
              <w:pStyle w:val="188"/>
              <w:autoSpaceDE w:val="0"/>
              <w:autoSpaceDN w:val="0"/>
              <w:spacing w:before="163" w:line="240" w:lineRule="auto"/>
              <w:ind w:right="434" w:rightChars="181"/>
              <w:jc w:val="center"/>
              <w:textAlignment w:val="bottom"/>
              <w:rPr>
                <w:color w:val="auto"/>
                <w:kern w:val="2"/>
              </w:rPr>
            </w:pPr>
            <w:r>
              <w:rPr>
                <w:rFonts w:hint="eastAsia"/>
                <w:color w:val="auto"/>
                <w:kern w:val="2"/>
              </w:rPr>
              <w:t>取10g样品放于100mL蒸馏水中,于沸腾水浴中加热1</w:t>
            </w:r>
            <w:r>
              <w:rPr>
                <w:color w:val="auto"/>
                <w:kern w:val="2"/>
              </w:rPr>
              <w:t>h</w:t>
            </w:r>
            <w:r>
              <w:rPr>
                <w:rFonts w:hint="eastAsia"/>
                <w:color w:val="auto"/>
                <w:kern w:val="2"/>
              </w:rPr>
              <w:t>后冷却,玻璃表面就应出现糊状。中和这100mL水所需0.01mol</w:t>
            </w:r>
            <w:r>
              <w:rPr>
                <w:color w:val="auto"/>
                <w:kern w:val="2"/>
              </w:rPr>
              <w:t>/L</w:t>
            </w:r>
            <w:r>
              <w:rPr>
                <w:rFonts w:hint="eastAsia"/>
                <w:color w:val="auto"/>
                <w:kern w:val="2"/>
              </w:rPr>
              <w:t>的盐酸应在10mL以下。</w:t>
            </w:r>
          </w:p>
        </w:tc>
      </w:tr>
      <w:tr w14:paraId="4917B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left w:val="single" w:color="auto" w:sz="4" w:space="0"/>
              <w:right w:val="single" w:color="auto" w:sz="4" w:space="0"/>
            </w:tcBorders>
            <w:vAlign w:val="center"/>
          </w:tcPr>
          <w:p w14:paraId="1C9F9AC2">
            <w:pPr>
              <w:pStyle w:val="188"/>
              <w:autoSpaceDE w:val="0"/>
              <w:autoSpaceDN w:val="0"/>
              <w:spacing w:before="163" w:line="240" w:lineRule="auto"/>
              <w:ind w:right="434" w:rightChars="181"/>
              <w:textAlignment w:val="bottom"/>
              <w:rPr>
                <w:color w:val="auto"/>
                <w:kern w:val="2"/>
              </w:rPr>
            </w:pPr>
            <w:r>
              <w:rPr>
                <w:rFonts w:hint="eastAsia"/>
                <w:color w:val="auto"/>
                <w:kern w:val="2"/>
              </w:rPr>
              <w:t>注：对玻璃珠品质要求仅供厂家参考，在型式检验中不作为检验项目。</w:t>
            </w:r>
          </w:p>
        </w:tc>
      </w:tr>
    </w:tbl>
    <w:p w14:paraId="1CF626B7">
      <w:pPr>
        <w:ind w:firstLine="480"/>
        <w:rPr>
          <w:color w:val="auto"/>
          <w:lang w:val="zh-CN"/>
        </w:rPr>
      </w:pPr>
      <w:r>
        <w:rPr>
          <w:rFonts w:hint="eastAsia"/>
          <w:color w:val="auto"/>
          <w:lang w:val="zh-CN"/>
        </w:rPr>
        <w:t>2、交通标志的技术要求</w:t>
      </w:r>
    </w:p>
    <w:p w14:paraId="3A35A681">
      <w:pPr>
        <w:ind w:firstLine="480"/>
        <w:rPr>
          <w:color w:val="auto"/>
          <w:lang w:val="zh-CN"/>
        </w:rPr>
      </w:pPr>
      <w:r>
        <w:rPr>
          <w:rFonts w:hint="eastAsia"/>
          <w:color w:val="auto"/>
          <w:lang w:val="zh-CN"/>
        </w:rPr>
        <w:t>（1）材料要求：</w:t>
      </w:r>
    </w:p>
    <w:p w14:paraId="5DB6789F">
      <w:pPr>
        <w:ind w:firstLine="480"/>
        <w:rPr>
          <w:color w:val="auto"/>
          <w:lang w:val="zh-CN"/>
        </w:rPr>
      </w:pPr>
      <w:r>
        <w:rPr>
          <w:rFonts w:hint="eastAsia"/>
          <w:color w:val="auto"/>
          <w:lang w:val="zh-CN"/>
        </w:rPr>
        <w:t>①标志立柱和横梁：立柱和横梁均采用一般常用热扎无缝钢管，并符合《输送流体用无缝钢管》（GB/T 8163-2018）的规定。标志立柱帽，采用普通碳素钢结构板，板厚3mm，表面热浸镀锌处理（含底座法兰盘），其中钢管、法兰盘及加劲肋等镀锌量为600g/m</w:t>
      </w:r>
      <w:r>
        <w:rPr>
          <w:color w:val="auto"/>
          <w:lang w:val="zh-CN"/>
        </w:rPr>
        <w:t>2</w:t>
      </w:r>
      <w:r>
        <w:rPr>
          <w:rFonts w:hint="eastAsia"/>
          <w:color w:val="auto"/>
          <w:lang w:val="zh-CN"/>
        </w:rPr>
        <w:t>，螺栓、螺母、垫片等镀锌量为350g/m</w:t>
      </w:r>
      <w:r>
        <w:rPr>
          <w:color w:val="auto"/>
          <w:lang w:val="zh-CN"/>
        </w:rPr>
        <w:t>2</w:t>
      </w:r>
      <w:r>
        <w:rPr>
          <w:rFonts w:hint="eastAsia"/>
          <w:color w:val="auto"/>
          <w:lang w:val="zh-CN"/>
        </w:rPr>
        <w:t>，钢管镀锌以后不可以再次线切割。</w:t>
      </w:r>
    </w:p>
    <w:p w14:paraId="1B90DA20">
      <w:pPr>
        <w:ind w:firstLine="480"/>
        <w:rPr>
          <w:color w:val="auto"/>
          <w:lang w:val="zh-CN"/>
        </w:rPr>
      </w:pPr>
      <w:r>
        <w:rPr>
          <w:rFonts w:hint="eastAsia"/>
          <w:color w:val="auto"/>
          <w:lang w:val="zh-CN"/>
        </w:rPr>
        <w:t>②标志板、滑动横梁：采用符合</w:t>
      </w:r>
      <w:r>
        <w:rPr>
          <w:color w:val="auto"/>
          <w:lang w:val="zh-CN"/>
        </w:rPr>
        <w:t>GB5768</w:t>
      </w:r>
      <w:r>
        <w:rPr>
          <w:rFonts w:hint="eastAsia"/>
          <w:color w:val="auto"/>
          <w:lang w:val="en-US" w:eastAsia="zh-CN"/>
        </w:rPr>
        <w:t>.2</w:t>
      </w:r>
      <w:r>
        <w:rPr>
          <w:rFonts w:hint="eastAsia"/>
          <w:color w:val="auto"/>
          <w:lang w:val="zh-CN"/>
        </w:rPr>
        <w:t>－20</w:t>
      </w:r>
      <w:r>
        <w:rPr>
          <w:rFonts w:hint="eastAsia"/>
          <w:color w:val="auto"/>
          <w:lang w:val="en-US" w:eastAsia="zh-CN"/>
        </w:rPr>
        <w:t>22</w:t>
      </w:r>
      <w:r>
        <w:rPr>
          <w:rFonts w:hint="eastAsia"/>
          <w:color w:val="auto"/>
          <w:lang w:val="zh-CN"/>
        </w:rPr>
        <w:t>标准的铝合金板材，并符合《一般工业用铝及铝合金板、带材》</w:t>
      </w:r>
      <w:r>
        <w:rPr>
          <w:rFonts w:hint="eastAsia"/>
          <w:color w:val="FF0000"/>
          <w:lang w:val="zh-CN"/>
        </w:rPr>
        <w:t>（GB/T 3880</w:t>
      </w:r>
      <w:r>
        <w:rPr>
          <w:rFonts w:hint="eastAsia"/>
          <w:color w:val="FF0000"/>
          <w:lang w:val="en-US" w:eastAsia="zh-CN"/>
        </w:rPr>
        <w:t>.1</w:t>
      </w:r>
      <w:r>
        <w:rPr>
          <w:rFonts w:hint="eastAsia"/>
          <w:color w:val="FF0000"/>
          <w:lang w:val="zh-CN"/>
        </w:rPr>
        <w:t>-20</w:t>
      </w:r>
      <w:r>
        <w:rPr>
          <w:rFonts w:hint="eastAsia"/>
          <w:color w:val="FF0000"/>
          <w:lang w:val="en-US" w:eastAsia="zh-CN"/>
        </w:rPr>
        <w:t>23、</w:t>
      </w:r>
      <w:r>
        <w:rPr>
          <w:rFonts w:hint="eastAsia"/>
          <w:color w:val="FF0000"/>
          <w:lang w:val="zh-CN"/>
        </w:rPr>
        <w:t>GB/T 3880</w:t>
      </w:r>
      <w:r>
        <w:rPr>
          <w:rFonts w:hint="eastAsia"/>
          <w:color w:val="FF0000"/>
          <w:lang w:val="en-US" w:eastAsia="zh-CN"/>
        </w:rPr>
        <w:t>.2</w:t>
      </w:r>
      <w:r>
        <w:rPr>
          <w:rFonts w:hint="eastAsia"/>
          <w:color w:val="FF0000"/>
          <w:lang w:val="zh-CN"/>
        </w:rPr>
        <w:t>-20</w:t>
      </w:r>
      <w:r>
        <w:rPr>
          <w:rFonts w:hint="eastAsia"/>
          <w:color w:val="FF0000"/>
          <w:lang w:val="en-US" w:eastAsia="zh-CN"/>
        </w:rPr>
        <w:t>24、</w:t>
      </w:r>
      <w:r>
        <w:rPr>
          <w:rFonts w:hint="eastAsia"/>
          <w:color w:val="FF0000"/>
          <w:lang w:val="zh-CN"/>
        </w:rPr>
        <w:t>GB/T 3880</w:t>
      </w:r>
      <w:r>
        <w:rPr>
          <w:rFonts w:hint="eastAsia"/>
          <w:color w:val="FF0000"/>
          <w:lang w:val="en-US" w:eastAsia="zh-CN"/>
        </w:rPr>
        <w:t>.3</w:t>
      </w:r>
      <w:r>
        <w:rPr>
          <w:rFonts w:hint="eastAsia"/>
          <w:color w:val="FF0000"/>
          <w:lang w:val="zh-CN"/>
        </w:rPr>
        <w:t>-20</w:t>
      </w:r>
      <w:r>
        <w:rPr>
          <w:rFonts w:hint="eastAsia"/>
          <w:color w:val="FF0000"/>
          <w:lang w:val="en-US" w:eastAsia="zh-CN"/>
        </w:rPr>
        <w:t>24</w:t>
      </w:r>
      <w:r>
        <w:rPr>
          <w:rFonts w:hint="eastAsia"/>
          <w:color w:val="FF0000"/>
          <w:lang w:val="zh-CN"/>
        </w:rPr>
        <w:t>）</w:t>
      </w:r>
      <w:r>
        <w:rPr>
          <w:rFonts w:hint="eastAsia"/>
          <w:color w:val="auto"/>
          <w:lang w:val="zh-CN"/>
        </w:rPr>
        <w:t>的规定。</w:t>
      </w:r>
    </w:p>
    <w:p w14:paraId="015FAF2D">
      <w:pPr>
        <w:ind w:firstLine="480"/>
        <w:rPr>
          <w:color w:val="auto"/>
          <w:lang w:val="zh-CN"/>
        </w:rPr>
      </w:pPr>
      <w:r>
        <w:rPr>
          <w:rFonts w:hint="eastAsia"/>
          <w:color w:val="auto"/>
          <w:lang w:val="zh-CN"/>
        </w:rPr>
        <w:t>③高强螺栓、高强连接螺栓及地脚螺栓（包括相应螺母、垫圈）应采用不锈钢材料。</w:t>
      </w:r>
    </w:p>
    <w:p w14:paraId="20E39625">
      <w:pPr>
        <w:ind w:firstLine="480"/>
        <w:rPr>
          <w:color w:val="auto"/>
          <w:lang w:val="zh-CN"/>
        </w:rPr>
      </w:pPr>
      <w:r>
        <w:rPr>
          <w:rFonts w:hint="eastAsia"/>
          <w:color w:val="auto"/>
          <w:lang w:val="zh-CN"/>
        </w:rPr>
        <w:t>④水泥混凝土基础材料：混凝土强度不应低于20Mpa。并符合现行规定</w:t>
      </w:r>
      <w:r>
        <w:rPr>
          <w:rFonts w:hint="eastAsia"/>
          <w:color w:val="FF0000"/>
          <w:lang w:val="zh-CN"/>
        </w:rPr>
        <w:t>《混凝土结构设计</w:t>
      </w:r>
      <w:r>
        <w:rPr>
          <w:rFonts w:hint="eastAsia"/>
          <w:color w:val="FF0000"/>
          <w:lang w:val="en-US" w:eastAsia="zh-CN"/>
        </w:rPr>
        <w:t>标准</w:t>
      </w:r>
      <w:r>
        <w:rPr>
          <w:rFonts w:hint="eastAsia"/>
          <w:color w:val="FF0000"/>
          <w:lang w:val="zh-CN"/>
        </w:rPr>
        <w:t>》（20</w:t>
      </w:r>
      <w:r>
        <w:rPr>
          <w:rFonts w:hint="eastAsia"/>
          <w:color w:val="FF0000"/>
          <w:lang w:val="en-US" w:eastAsia="zh-CN"/>
        </w:rPr>
        <w:t>24</w:t>
      </w:r>
      <w:r>
        <w:rPr>
          <w:rFonts w:hint="eastAsia"/>
          <w:color w:val="FF0000"/>
          <w:lang w:val="zh-CN"/>
        </w:rPr>
        <w:t>版）（</w:t>
      </w:r>
      <w:r>
        <w:rPr>
          <w:color w:val="FF0000"/>
          <w:lang w:val="zh-CN"/>
        </w:rPr>
        <w:t>GB50010-2010</w:t>
      </w:r>
      <w:r>
        <w:rPr>
          <w:rFonts w:hint="eastAsia"/>
          <w:color w:val="FF0000"/>
          <w:lang w:val="zh-CN"/>
        </w:rPr>
        <w:t>）</w:t>
      </w:r>
      <w:r>
        <w:rPr>
          <w:rFonts w:hint="eastAsia"/>
          <w:color w:val="auto"/>
          <w:lang w:val="zh-CN"/>
        </w:rPr>
        <w:t>的规定。</w:t>
      </w:r>
    </w:p>
    <w:p w14:paraId="75CF8813">
      <w:pPr>
        <w:ind w:firstLine="480"/>
        <w:rPr>
          <w:color w:val="auto"/>
          <w:lang w:val="zh-CN"/>
        </w:rPr>
      </w:pPr>
      <w:r>
        <w:rPr>
          <w:rFonts w:hint="eastAsia"/>
          <w:color w:val="auto"/>
          <w:lang w:val="zh-CN"/>
        </w:rPr>
        <w:t>⑤钢筋采用热扎结构等级圆钢筋，并符合现行规定</w:t>
      </w:r>
      <w:r>
        <w:rPr>
          <w:rFonts w:hint="eastAsia"/>
          <w:color w:val="auto"/>
          <w:highlight w:val="yellow"/>
          <w:lang w:val="zh-CN"/>
        </w:rPr>
        <w:t>《混凝土结构设计</w:t>
      </w:r>
      <w:r>
        <w:rPr>
          <w:rFonts w:hint="eastAsia"/>
          <w:color w:val="auto"/>
          <w:highlight w:val="yellow"/>
          <w:lang w:val="en-US" w:eastAsia="zh-CN"/>
        </w:rPr>
        <w:t>标准</w:t>
      </w:r>
      <w:r>
        <w:rPr>
          <w:rFonts w:hint="eastAsia"/>
          <w:color w:val="auto"/>
          <w:highlight w:val="yellow"/>
          <w:lang w:val="zh-CN"/>
        </w:rPr>
        <w:t>》（20</w:t>
      </w:r>
      <w:r>
        <w:rPr>
          <w:rFonts w:hint="eastAsia"/>
          <w:color w:val="auto"/>
          <w:highlight w:val="yellow"/>
          <w:lang w:val="en-US" w:eastAsia="zh-CN"/>
        </w:rPr>
        <w:t>24</w:t>
      </w:r>
      <w:r>
        <w:rPr>
          <w:rFonts w:hint="eastAsia"/>
          <w:color w:val="auto"/>
          <w:highlight w:val="yellow"/>
          <w:lang w:val="zh-CN"/>
        </w:rPr>
        <w:t>版）（</w:t>
      </w:r>
      <w:r>
        <w:rPr>
          <w:color w:val="auto"/>
          <w:highlight w:val="yellow"/>
          <w:lang w:val="zh-CN"/>
        </w:rPr>
        <w:t>GB50010-2010</w:t>
      </w:r>
      <w:r>
        <w:rPr>
          <w:rFonts w:hint="eastAsia"/>
          <w:color w:val="auto"/>
          <w:highlight w:val="yellow"/>
          <w:lang w:val="zh-CN"/>
        </w:rPr>
        <w:t>）。</w:t>
      </w:r>
    </w:p>
    <w:p w14:paraId="307FA6E9">
      <w:pPr>
        <w:ind w:firstLine="480"/>
        <w:rPr>
          <w:color w:val="auto"/>
          <w:lang w:val="zh-CN"/>
        </w:rPr>
      </w:pPr>
      <w:r>
        <w:rPr>
          <w:rFonts w:hint="eastAsia"/>
          <w:color w:val="auto"/>
          <w:lang w:val="zh-CN"/>
        </w:rPr>
        <w:t>⑥定向反光标志膜采用超强级反光膜，其回归反射光度值（最小值）反光膜颜色的角坐标和标志色泽耐用期应满足《道路交通反光膜》GB/T18833-2012的要求。</w:t>
      </w:r>
    </w:p>
    <w:p w14:paraId="0C900F45">
      <w:pPr>
        <w:ind w:firstLine="480"/>
        <w:rPr>
          <w:color w:val="auto"/>
          <w:lang w:val="zh-CN"/>
        </w:rPr>
      </w:pPr>
      <w:r>
        <w:rPr>
          <w:rFonts w:hint="eastAsia"/>
          <w:color w:val="auto"/>
          <w:lang w:val="zh-CN"/>
        </w:rPr>
        <w:t>（2）、标示牌制作：</w:t>
      </w:r>
    </w:p>
    <w:p w14:paraId="02C187FC">
      <w:pPr>
        <w:ind w:firstLine="480"/>
        <w:rPr>
          <w:color w:val="auto"/>
          <w:lang w:val="zh-CN"/>
        </w:rPr>
      </w:pPr>
      <w:r>
        <w:rPr>
          <w:rFonts w:hint="eastAsia"/>
          <w:color w:val="auto"/>
          <w:lang w:val="zh-CN"/>
        </w:rPr>
        <w:t>①交通标志的形状图案、颜色应严格按照</w:t>
      </w:r>
      <w:r>
        <w:rPr>
          <w:rFonts w:hint="eastAsia"/>
          <w:color w:val="FF0000"/>
          <w:lang w:val="zh-CN"/>
        </w:rPr>
        <w:t>《道路交通标志和标线》（GB5768</w:t>
      </w:r>
      <w:r>
        <w:rPr>
          <w:rFonts w:hint="eastAsia"/>
          <w:color w:val="FF0000"/>
          <w:lang w:val="en-US" w:eastAsia="zh-CN"/>
        </w:rPr>
        <w:t>.3</w:t>
      </w:r>
      <w:r>
        <w:rPr>
          <w:rFonts w:hint="eastAsia"/>
          <w:color w:val="FF0000"/>
          <w:lang w:val="zh-CN"/>
        </w:rPr>
        <w:t>-20</w:t>
      </w:r>
      <w:r>
        <w:rPr>
          <w:rFonts w:hint="eastAsia"/>
          <w:color w:val="FF0000"/>
          <w:lang w:val="en-US" w:eastAsia="zh-CN"/>
        </w:rPr>
        <w:t>22</w:t>
      </w:r>
      <w:r>
        <w:rPr>
          <w:rFonts w:hint="eastAsia"/>
          <w:color w:val="FF0000"/>
          <w:lang w:val="zh-CN"/>
        </w:rPr>
        <w:t>）</w:t>
      </w:r>
      <w:r>
        <w:rPr>
          <w:rFonts w:hint="eastAsia"/>
          <w:color w:val="auto"/>
          <w:lang w:val="zh-CN"/>
        </w:rPr>
        <w:t>标准、或设计图的规定执行。为了确保指路标志的确认性，指路标志汉字必须采用等粗线，字体、阿拉伯数字和英文文字应符合</w:t>
      </w:r>
      <w:r>
        <w:rPr>
          <w:rFonts w:hint="eastAsia"/>
          <w:color w:val="FF0000"/>
          <w:lang w:val="zh-CN"/>
        </w:rPr>
        <w:t>《道路交通标志和标线》（GB5768</w:t>
      </w:r>
      <w:r>
        <w:rPr>
          <w:rFonts w:hint="eastAsia"/>
          <w:color w:val="FF0000"/>
          <w:lang w:val="en-US" w:eastAsia="zh-CN"/>
        </w:rPr>
        <w:t>.3</w:t>
      </w:r>
      <w:r>
        <w:rPr>
          <w:rFonts w:hint="eastAsia"/>
          <w:color w:val="FF0000"/>
          <w:lang w:val="zh-CN"/>
        </w:rPr>
        <w:t>-20</w:t>
      </w:r>
      <w:r>
        <w:rPr>
          <w:rFonts w:hint="eastAsia"/>
          <w:color w:val="FF0000"/>
          <w:lang w:val="en-US" w:eastAsia="zh-CN"/>
        </w:rPr>
        <w:t>22</w:t>
      </w:r>
      <w:r>
        <w:rPr>
          <w:rFonts w:hint="eastAsia"/>
          <w:color w:val="auto"/>
          <w:lang w:val="zh-CN"/>
        </w:rPr>
        <w:t>）的规定，不允许采用其他字体。</w:t>
      </w:r>
    </w:p>
    <w:p w14:paraId="22195549">
      <w:pPr>
        <w:ind w:firstLine="480"/>
        <w:rPr>
          <w:color w:val="auto"/>
          <w:lang w:val="zh-CN"/>
        </w:rPr>
      </w:pPr>
      <w:r>
        <w:rPr>
          <w:rFonts w:hint="eastAsia"/>
          <w:color w:val="auto"/>
          <w:lang w:val="zh-CN"/>
        </w:rPr>
        <w:t>②标志板与滑动钢槽，卷边和加固件的连接，在保证连接强度和标志板面平整、不影响贴反光膜的前提下，可采用铆钉连接。</w:t>
      </w:r>
    </w:p>
    <w:p w14:paraId="340E6F6B">
      <w:pPr>
        <w:ind w:firstLine="480"/>
        <w:rPr>
          <w:color w:val="FF0000"/>
          <w:lang w:val="zh-CN"/>
        </w:rPr>
      </w:pPr>
      <w:r>
        <w:rPr>
          <w:rFonts w:hint="eastAsia"/>
          <w:color w:val="FF0000"/>
          <w:lang w:val="zh-CN"/>
        </w:rPr>
        <w:t>③本</w:t>
      </w:r>
      <w:r>
        <w:rPr>
          <w:rFonts w:hint="eastAsia" w:ascii="宋体" w:hAnsi="宋体"/>
          <w:color w:val="FF0000"/>
        </w:rPr>
        <w:t>标志板反光材料采用Ⅳ类（超强级）反光膜</w:t>
      </w:r>
      <w:r>
        <w:rPr>
          <w:rFonts w:hint="eastAsia"/>
          <w:color w:val="FF0000"/>
          <w:lang w:val="zh-CN"/>
        </w:rPr>
        <w:t>。</w:t>
      </w:r>
    </w:p>
    <w:p w14:paraId="5321C999">
      <w:pPr>
        <w:ind w:firstLine="480"/>
        <w:rPr>
          <w:color w:val="auto"/>
          <w:lang w:val="zh-CN"/>
        </w:rPr>
      </w:pPr>
      <w:r>
        <w:rPr>
          <w:rFonts w:hint="eastAsia"/>
          <w:color w:val="auto"/>
          <w:lang w:val="zh-CN"/>
        </w:rPr>
        <w:t>④指示标牌表面无明显皱纹、凹槽或弯形，每平方米的平整度公差小于1.0mm。</w:t>
      </w:r>
    </w:p>
    <w:p w14:paraId="6D28EDCC">
      <w:pPr>
        <w:ind w:firstLine="480"/>
        <w:rPr>
          <w:color w:val="auto"/>
          <w:lang w:val="zh-CN"/>
        </w:rPr>
      </w:pPr>
      <w:r>
        <w:rPr>
          <w:rFonts w:hint="eastAsia"/>
          <w:color w:val="auto"/>
          <w:lang w:val="zh-CN"/>
        </w:rPr>
        <w:t>⑤标牌面无裂纹、无明显划痕、无损伤、无颜色不均和污染等现象；标志杆应按规范规定进行热浸镀锌，其中钢管、法兰盘及加劲肋等镀锌量为600g/m</w:t>
      </w:r>
      <w:r>
        <w:rPr>
          <w:color w:val="auto"/>
          <w:lang w:val="zh-CN"/>
        </w:rPr>
        <w:t>2</w:t>
      </w:r>
      <w:r>
        <w:rPr>
          <w:rFonts w:hint="eastAsia"/>
          <w:color w:val="auto"/>
          <w:lang w:val="zh-CN"/>
        </w:rPr>
        <w:t>，螺栓、螺母、垫片等镀锌量为350g/m</w:t>
      </w:r>
      <w:r>
        <w:rPr>
          <w:color w:val="auto"/>
          <w:lang w:val="zh-CN"/>
        </w:rPr>
        <w:t>2</w:t>
      </w:r>
      <w:r>
        <w:rPr>
          <w:rFonts w:hint="eastAsia"/>
          <w:color w:val="auto"/>
          <w:lang w:val="zh-CN"/>
        </w:rPr>
        <w:t>，螺栓、螺母、垫圈必须清理螺纹或作离心处理，用不锈钢螺丝焊牢。</w:t>
      </w:r>
    </w:p>
    <w:p w14:paraId="0488548C">
      <w:pPr>
        <w:ind w:firstLine="480"/>
        <w:rPr>
          <w:color w:val="auto"/>
          <w:lang w:val="zh-CN"/>
        </w:rPr>
      </w:pPr>
      <w:r>
        <w:rPr>
          <w:rFonts w:hint="eastAsia"/>
          <w:color w:val="auto"/>
          <w:lang w:val="zh-CN"/>
        </w:rPr>
        <w:t>⑥标志板与立柱采用铝槽通过不锈钢扎带和万能夹固定。</w:t>
      </w:r>
    </w:p>
    <w:p w14:paraId="3EC96CB9">
      <w:pPr>
        <w:ind w:firstLine="480"/>
        <w:rPr>
          <w:color w:val="auto"/>
          <w:lang w:val="zh-CN"/>
        </w:rPr>
      </w:pPr>
      <w:r>
        <w:rPr>
          <w:rFonts w:hint="eastAsia"/>
          <w:color w:val="auto"/>
          <w:lang w:val="zh-CN"/>
        </w:rPr>
        <w:t>⑦标志主柱和横梁不允许存在任何接驳。</w:t>
      </w:r>
    </w:p>
    <w:p w14:paraId="624FF62B">
      <w:pPr>
        <w:snapToGrid w:val="0"/>
        <w:spacing w:before="72"/>
        <w:ind w:firstLine="480"/>
        <w:rPr>
          <w:snapToGrid w:val="0"/>
          <w:color w:val="auto"/>
        </w:rPr>
      </w:pPr>
      <w:r>
        <w:rPr>
          <w:rFonts w:hint="eastAsia"/>
          <w:color w:val="auto"/>
          <w:lang w:val="zh-CN"/>
        </w:rPr>
        <w:t>⑧所有焊接件均要求双面全满焊，务必焊牢并且要求打磨光滑。</w:t>
      </w:r>
    </w:p>
    <w:p w14:paraId="7236EE6B">
      <w:pPr>
        <w:pStyle w:val="3"/>
        <w:bidi w:val="0"/>
      </w:pPr>
      <w:r>
        <w:rPr>
          <w:rFonts w:hint="eastAsia"/>
        </w:rPr>
        <w:t>九、给、排水工程</w:t>
      </w:r>
    </w:p>
    <w:p w14:paraId="4B8D1A11">
      <w:pPr>
        <w:ind w:firstLine="480"/>
        <w:rPr>
          <w:rFonts w:hint="default" w:eastAsia="宋体"/>
          <w:color w:val="auto"/>
          <w:lang w:val="en-US" w:eastAsia="zh-CN"/>
        </w:rPr>
      </w:pPr>
      <w:r>
        <w:rPr>
          <w:rFonts w:hint="eastAsia"/>
          <w:color w:val="auto"/>
          <w:lang w:val="en-US" w:eastAsia="zh-CN"/>
        </w:rPr>
        <w:t>幼儿园地块给排水管线从永安东路接驳，本次临时路暂不考虑设置相应管线。</w:t>
      </w:r>
    </w:p>
    <w:p w14:paraId="695DC86A">
      <w:pPr>
        <w:pStyle w:val="3"/>
        <w:bidi w:val="0"/>
        <w:ind w:firstLine="198"/>
        <w:rPr>
          <w:rFonts w:hint="eastAsia" w:ascii="宋体" w:hAnsi="宋体"/>
          <w:b/>
          <w:color w:val="auto"/>
          <w:lang w:val="en-US" w:eastAsia="zh-CN"/>
        </w:rPr>
      </w:pPr>
      <w:r>
        <w:rPr>
          <w:rFonts w:hint="eastAsia" w:ascii="宋体" w:hAnsi="宋体"/>
          <w:b/>
          <w:color w:val="auto"/>
          <w:lang w:val="en-US" w:eastAsia="zh-CN"/>
        </w:rPr>
        <w:t>十、</w:t>
      </w:r>
      <w:r>
        <w:rPr>
          <w:rFonts w:hint="eastAsia" w:ascii="宋体" w:hAnsi="宋体"/>
          <w:b/>
          <w:color w:val="auto"/>
          <w:lang w:val="zh-CN"/>
        </w:rPr>
        <w:t>灌溉渠</w:t>
      </w:r>
      <w:r>
        <w:rPr>
          <w:rFonts w:hint="eastAsia" w:ascii="宋体" w:hAnsi="宋体"/>
          <w:b/>
          <w:color w:val="auto"/>
          <w:lang w:val="en-US" w:eastAsia="zh-CN"/>
        </w:rPr>
        <w:t>设计</w:t>
      </w:r>
    </w:p>
    <w:p w14:paraId="4804EE7F">
      <w:pPr>
        <w:ind w:firstLine="480"/>
        <w:rPr>
          <w:color w:val="auto"/>
          <w:lang w:val="zh-CN"/>
        </w:rPr>
      </w:pPr>
      <w:r>
        <w:rPr>
          <w:rFonts w:hint="eastAsia"/>
          <w:color w:val="auto"/>
          <w:lang w:val="zh-CN"/>
        </w:rPr>
        <w:t>支路四沿线存在一条现状灌溉渠，南北走向，梯形，土质边坡，底宽0</w:t>
      </w:r>
      <w:r>
        <w:rPr>
          <w:color w:val="auto"/>
          <w:lang w:val="zh-CN"/>
        </w:rPr>
        <w:t>.8~1.2</w:t>
      </w:r>
      <w:r>
        <w:rPr>
          <w:rFonts w:hint="eastAsia"/>
          <w:color w:val="auto"/>
          <w:lang w:val="zh-CN"/>
        </w:rPr>
        <w:t>米，顶宽2</w:t>
      </w:r>
      <w:r>
        <w:rPr>
          <w:color w:val="auto"/>
          <w:lang w:val="zh-CN"/>
        </w:rPr>
        <w:t>.4~3</w:t>
      </w:r>
      <w:r>
        <w:rPr>
          <w:rFonts w:hint="eastAsia"/>
          <w:color w:val="auto"/>
          <w:lang w:val="zh-CN"/>
        </w:rPr>
        <w:t>米，高1</w:t>
      </w:r>
      <w:r>
        <w:rPr>
          <w:color w:val="auto"/>
          <w:lang w:val="zh-CN"/>
        </w:rPr>
        <w:t>.2~1.5</w:t>
      </w:r>
      <w:r>
        <w:rPr>
          <w:rFonts w:hint="eastAsia"/>
          <w:color w:val="auto"/>
          <w:lang w:val="zh-CN"/>
        </w:rPr>
        <w:t>米。因路基占用灌溉渠，临时道路将其改渠至车行道东侧，与现状灌溉渠连通，以保证排水通畅。</w:t>
      </w:r>
      <w:r>
        <w:rPr>
          <w:color w:val="auto"/>
          <w:lang w:val="zh-CN"/>
        </w:rPr>
        <w:t xml:space="preserve"> </w:t>
      </w:r>
      <w:r>
        <w:rPr>
          <w:rFonts w:hint="eastAsia"/>
          <w:color w:val="auto"/>
          <w:lang w:val="zh-CN"/>
        </w:rPr>
        <w:t>灌溉渠采用土质水渠与现状保持一致，灌溉渠与车行道之间采用悬臂式挡土墙支护，</w:t>
      </w:r>
      <w:r>
        <w:rPr>
          <w:rFonts w:hint="eastAsia" w:cs="宋体"/>
        </w:rPr>
        <w:t>由建筑基坑支护专业负责</w:t>
      </w:r>
      <w:r>
        <w:rPr>
          <w:rFonts w:hint="eastAsia"/>
          <w:color w:val="auto"/>
          <w:lang w:val="zh-CN"/>
        </w:rPr>
        <w:t>。</w:t>
      </w:r>
    </w:p>
    <w:p w14:paraId="757CF59F">
      <w:pPr>
        <w:pStyle w:val="3"/>
        <w:bidi w:val="0"/>
        <w:ind w:firstLine="198"/>
        <w:rPr>
          <w:rFonts w:hint="eastAsia" w:ascii="Times New Roman" w:hAnsi="Times New Roman" w:eastAsia="宋体"/>
        </w:rPr>
      </w:pPr>
      <w:r>
        <w:rPr>
          <w:rFonts w:hint="eastAsia" w:ascii="Times New Roman" w:hAnsi="Times New Roman" w:eastAsia="宋体"/>
          <w:lang w:val="en-US" w:eastAsia="zh-CN"/>
        </w:rPr>
        <w:t>十一</w:t>
      </w:r>
      <w:r>
        <w:rPr>
          <w:rFonts w:hint="eastAsia" w:ascii="Times New Roman" w:hAnsi="Times New Roman" w:eastAsia="宋体"/>
        </w:rPr>
        <w:t>、照明工程</w:t>
      </w:r>
    </w:p>
    <w:p w14:paraId="3CB0775A">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11.1</w:t>
      </w:r>
      <w:r>
        <w:rPr>
          <w:rFonts w:hint="eastAsia" w:ascii="新宋体" w:hAnsi="新宋体" w:eastAsia="新宋体" w:cs="新宋体"/>
          <w:b/>
          <w:bCs/>
          <w:color w:val="auto"/>
          <w:sz w:val="24"/>
          <w:szCs w:val="24"/>
        </w:rPr>
        <w:t>、设计依据</w:t>
      </w:r>
    </w:p>
    <w:p w14:paraId="013C8AD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1.《城市道路工程设计规范》（CJJ37-2012）（</w:t>
      </w:r>
      <w:r>
        <w:rPr>
          <w:rFonts w:hint="eastAsia" w:ascii="新宋体" w:hAnsi="新宋体" w:eastAsia="新宋体" w:cs="新宋体"/>
          <w:color w:val="auto"/>
          <w:sz w:val="24"/>
          <w:szCs w:val="24"/>
          <w:lang w:val="en-US" w:eastAsia="zh-CN"/>
        </w:rPr>
        <w:t>2016年版</w:t>
      </w:r>
      <w:r>
        <w:rPr>
          <w:rFonts w:hint="eastAsia" w:ascii="新宋体" w:hAnsi="新宋体" w:eastAsia="新宋体" w:cs="新宋体"/>
          <w:color w:val="auto"/>
          <w:sz w:val="24"/>
          <w:szCs w:val="24"/>
        </w:rPr>
        <w:t>）；</w:t>
      </w:r>
    </w:p>
    <w:p w14:paraId="06171915">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2.《城市道路照明设计标准》（CJJ45-20</w:t>
      </w:r>
      <w:r>
        <w:rPr>
          <w:rFonts w:hint="eastAsia" w:ascii="新宋体" w:hAnsi="新宋体" w:eastAsia="新宋体" w:cs="新宋体"/>
          <w:color w:val="auto"/>
          <w:sz w:val="24"/>
          <w:szCs w:val="24"/>
          <w:lang w:val="en-US" w:eastAsia="zh-CN"/>
        </w:rPr>
        <w:t>15</w:t>
      </w:r>
      <w:r>
        <w:rPr>
          <w:rFonts w:hint="eastAsia" w:ascii="新宋体" w:hAnsi="新宋体" w:eastAsia="新宋体" w:cs="新宋体"/>
          <w:color w:val="auto"/>
          <w:sz w:val="24"/>
          <w:szCs w:val="24"/>
        </w:rPr>
        <w:t>）；</w:t>
      </w:r>
    </w:p>
    <w:p w14:paraId="6D0C0193">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3.《低压配电设计规范》（GB50054-2011）；</w:t>
      </w:r>
    </w:p>
    <w:p w14:paraId="2DF731E9">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4.《供配电系统设计规范》（GB50052-2009）；</w:t>
      </w:r>
    </w:p>
    <w:p w14:paraId="239C4AEB">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5.《建筑物防雷设计规范》（GB50057-2010）；</w:t>
      </w:r>
    </w:p>
    <w:p w14:paraId="2CB0C3C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6.《电力工程电缆设计</w:t>
      </w:r>
      <w:r>
        <w:rPr>
          <w:rFonts w:hint="eastAsia" w:ascii="新宋体" w:hAnsi="新宋体" w:eastAsia="新宋体" w:cs="新宋体"/>
          <w:color w:val="auto"/>
          <w:sz w:val="24"/>
          <w:szCs w:val="24"/>
          <w:lang w:eastAsia="zh-CN"/>
        </w:rPr>
        <w:t>标准</w:t>
      </w:r>
      <w:r>
        <w:rPr>
          <w:rFonts w:hint="eastAsia" w:ascii="新宋体" w:hAnsi="新宋体" w:eastAsia="新宋体" w:cs="新宋体"/>
          <w:color w:val="auto"/>
          <w:sz w:val="24"/>
          <w:szCs w:val="24"/>
        </w:rPr>
        <w:t>》（GB50217-20</w:t>
      </w:r>
      <w:r>
        <w:rPr>
          <w:rFonts w:hint="eastAsia" w:ascii="新宋体" w:hAnsi="新宋体" w:eastAsia="新宋体" w:cs="新宋体"/>
          <w:color w:val="auto"/>
          <w:sz w:val="24"/>
          <w:szCs w:val="24"/>
          <w:lang w:val="en-US" w:eastAsia="zh-CN"/>
        </w:rPr>
        <w:t>18</w:t>
      </w:r>
      <w:r>
        <w:rPr>
          <w:rFonts w:hint="eastAsia" w:ascii="新宋体" w:hAnsi="新宋体" w:eastAsia="新宋体" w:cs="新宋体"/>
          <w:color w:val="auto"/>
          <w:sz w:val="24"/>
          <w:szCs w:val="24"/>
        </w:rPr>
        <w:t>）；</w:t>
      </w:r>
    </w:p>
    <w:p w14:paraId="5BE6A019">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7.《道路照明用LED灯性能要求》（GB/T 24907-2010）；</w:t>
      </w:r>
    </w:p>
    <w:p w14:paraId="443EB676">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8</w:t>
      </w:r>
      <w:r>
        <w:rPr>
          <w:rFonts w:hint="eastAsia" w:ascii="新宋体" w:hAnsi="新宋体" w:eastAsia="新宋体" w:cs="新宋体"/>
          <w:color w:val="auto"/>
          <w:sz w:val="24"/>
          <w:szCs w:val="24"/>
        </w:rPr>
        <w:t>.《城市道路照明工程施工及验收规程》（CJJ89-2012）；</w:t>
      </w:r>
    </w:p>
    <w:p w14:paraId="287518D1">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9</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《LED城市道路照明应用技术要求》(GB/T31832-2015)；</w:t>
      </w:r>
    </w:p>
    <w:p w14:paraId="1E39C030">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10</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《道路照明灯杆技术条件》(CJ/T 527-2018)；</w:t>
      </w:r>
    </w:p>
    <w:p w14:paraId="2F6EB60A">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11</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《公共场所（户外）用电设施建设及运行安全规程》（DB44/T 2157-2019）；</w:t>
      </w:r>
    </w:p>
    <w:p w14:paraId="3E88B1B7">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12</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《智慧灯杆技术规范》（DBJ/T15-164-2019）；</w:t>
      </w:r>
    </w:p>
    <w:p w14:paraId="073495D7">
      <w:pPr>
        <w:pStyle w:val="86"/>
        <w:adjustRightInd w:val="0"/>
        <w:snapToGrid w:val="0"/>
        <w:spacing w:after="0" w:line="360" w:lineRule="auto"/>
        <w:ind w:firstLine="480" w:firstLineChars="200"/>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13</w:t>
      </w:r>
      <w:r>
        <w:rPr>
          <w:rFonts w:hint="eastAsia" w:ascii="新宋体" w:hAnsi="新宋体" w:eastAsia="新宋体" w:cs="新宋体"/>
          <w:color w:val="FF0000"/>
          <w:sz w:val="24"/>
          <w:szCs w:val="24"/>
        </w:rPr>
        <w:t>．</w:t>
      </w:r>
      <w:r>
        <w:rPr>
          <w:rFonts w:hint="eastAsia" w:ascii="新宋体" w:hAnsi="新宋体" w:eastAsia="新宋体" w:cs="新宋体"/>
          <w:color w:val="FF0000"/>
          <w:sz w:val="24"/>
          <w:szCs w:val="24"/>
          <w:lang w:val="en-US" w:eastAsia="zh-CN"/>
        </w:rPr>
        <w:t>《</w:t>
      </w:r>
      <w:r>
        <w:rPr>
          <w:rFonts w:hint="eastAsia" w:eastAsia="宋体" w:asciiTheme="minorEastAsia" w:hAnsiTheme="minorEastAsia" w:cstheme="minorEastAsia"/>
          <w:bCs/>
          <w:color w:val="FF0000"/>
          <w:sz w:val="24"/>
          <w:szCs w:val="24"/>
          <w:lang w:val="en-US" w:eastAsia="zh-CN"/>
        </w:rPr>
        <w:t>建筑环境通用规范》（GB55016-2021）</w:t>
      </w:r>
      <w:r>
        <w:rPr>
          <w:rFonts w:hint="eastAsia" w:ascii="新宋体" w:hAnsi="新宋体" w:eastAsia="新宋体" w:cs="新宋体"/>
          <w:color w:val="FF0000"/>
          <w:sz w:val="24"/>
          <w:szCs w:val="24"/>
          <w:lang w:val="en-US" w:eastAsia="zh-CN"/>
        </w:rPr>
        <w:t>；</w:t>
      </w:r>
    </w:p>
    <w:p w14:paraId="79E234D1">
      <w:pPr>
        <w:pStyle w:val="86"/>
        <w:adjustRightInd w:val="0"/>
        <w:snapToGrid w:val="0"/>
        <w:spacing w:after="0" w:line="360" w:lineRule="auto"/>
        <w:ind w:firstLine="480" w:firstLineChars="200"/>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14</w:t>
      </w:r>
      <w:r>
        <w:rPr>
          <w:rFonts w:hint="eastAsia" w:ascii="新宋体" w:hAnsi="新宋体" w:eastAsia="新宋体" w:cs="新宋体"/>
          <w:color w:val="FF0000"/>
          <w:sz w:val="24"/>
          <w:szCs w:val="24"/>
        </w:rPr>
        <w:t>．</w:t>
      </w:r>
      <w:r>
        <w:rPr>
          <w:rFonts w:hint="default" w:eastAsia="宋体" w:asciiTheme="minorEastAsia" w:hAnsiTheme="minorEastAsia" w:cstheme="minorEastAsia"/>
          <w:bCs/>
          <w:color w:val="FF0000"/>
          <w:sz w:val="24"/>
          <w:szCs w:val="24"/>
          <w:lang w:val="en-US" w:eastAsia="zh-CN"/>
        </w:rPr>
        <w:t>《道路和隧道照明用LED灯具能效限定值及能效等级》</w:t>
      </w:r>
      <w:r>
        <w:rPr>
          <w:rFonts w:hint="eastAsia" w:eastAsia="宋体" w:asciiTheme="minorEastAsia" w:hAnsiTheme="minorEastAsia" w:cstheme="minorEastAsia"/>
          <w:bCs/>
          <w:color w:val="FF0000"/>
          <w:sz w:val="24"/>
          <w:szCs w:val="24"/>
          <w:lang w:val="en-US" w:eastAsia="zh-CN"/>
        </w:rPr>
        <w:t>(</w:t>
      </w:r>
      <w:r>
        <w:rPr>
          <w:rFonts w:hint="default" w:eastAsia="宋体" w:asciiTheme="minorEastAsia" w:hAnsiTheme="minorEastAsia" w:cstheme="minorEastAsia"/>
          <w:bCs/>
          <w:color w:val="FF0000"/>
          <w:sz w:val="24"/>
          <w:szCs w:val="24"/>
          <w:lang w:val="en-US" w:eastAsia="zh-CN"/>
        </w:rPr>
        <w:t>GB 37478-2019</w:t>
      </w:r>
      <w:r>
        <w:rPr>
          <w:rFonts w:hint="eastAsia" w:eastAsia="宋体" w:asciiTheme="minorEastAsia" w:hAnsiTheme="minorEastAsia" w:cstheme="minorEastAsia"/>
          <w:bCs/>
          <w:color w:val="FF0000"/>
          <w:sz w:val="24"/>
          <w:szCs w:val="24"/>
          <w:lang w:val="en-US" w:eastAsia="zh-CN"/>
        </w:rPr>
        <w:t>)</w:t>
      </w:r>
      <w:r>
        <w:rPr>
          <w:rFonts w:hint="eastAsia" w:ascii="新宋体" w:hAnsi="新宋体" w:eastAsia="新宋体" w:cs="新宋体"/>
          <w:color w:val="FF0000"/>
          <w:sz w:val="24"/>
          <w:szCs w:val="24"/>
          <w:lang w:val="en-US" w:eastAsia="zh-CN"/>
        </w:rPr>
        <w:t>；</w:t>
      </w:r>
    </w:p>
    <w:p w14:paraId="22D94811">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15.本院道路专业、给排水专业提供的设计文件。</w:t>
      </w:r>
    </w:p>
    <w:p w14:paraId="68B2E3BC">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11.2</w:t>
      </w:r>
      <w:r>
        <w:rPr>
          <w:rFonts w:hint="eastAsia" w:ascii="新宋体" w:hAnsi="新宋体" w:eastAsia="新宋体" w:cs="新宋体"/>
          <w:b/>
          <w:bCs/>
          <w:color w:val="auto"/>
          <w:sz w:val="24"/>
          <w:szCs w:val="24"/>
        </w:rPr>
        <w:t>、工程设计范围</w:t>
      </w:r>
    </w:p>
    <w:p w14:paraId="7F023A0B">
      <w:pPr>
        <w:pStyle w:val="86"/>
        <w:adjustRightInd w:val="0"/>
        <w:snapToGrid w:val="0"/>
        <w:spacing w:after="0"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本设计为</w:t>
      </w:r>
      <w:r>
        <w:rPr>
          <w:rFonts w:hint="eastAsia" w:ascii="宋体" w:hAnsi="宋体" w:cs="宋体"/>
          <w:color w:val="auto"/>
          <w:sz w:val="24"/>
          <w:szCs w:val="24"/>
          <w:highlight w:val="none"/>
          <w:lang w:val="en-US" w:eastAsia="zh-CN"/>
        </w:rPr>
        <w:t>临时道路</w:t>
      </w:r>
      <w:r>
        <w:rPr>
          <w:rFonts w:hint="eastAsia" w:ascii="宋体" w:hAnsi="宋体" w:cs="宋体"/>
          <w:color w:val="auto"/>
          <w:sz w:val="24"/>
          <w:szCs w:val="24"/>
          <w:highlight w:val="none"/>
        </w:rPr>
        <w:t>照明及供配电设计。</w:t>
      </w:r>
    </w:p>
    <w:p w14:paraId="0058020D">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11.3</w:t>
      </w:r>
      <w:r>
        <w:rPr>
          <w:rFonts w:hint="eastAsia" w:ascii="新宋体" w:hAnsi="新宋体" w:eastAsia="新宋体" w:cs="新宋体"/>
          <w:b/>
          <w:bCs/>
          <w:color w:val="auto"/>
          <w:sz w:val="24"/>
          <w:szCs w:val="24"/>
        </w:rPr>
        <w:t>、照明设计标准</w:t>
      </w:r>
    </w:p>
    <w:p w14:paraId="4E006930">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宋体" w:hAnsi="宋体" w:cs="宋体"/>
          <w:color w:val="auto"/>
          <w:sz w:val="24"/>
          <w:szCs w:val="24"/>
          <w:highlight w:val="none"/>
        </w:rPr>
        <w:t>本工程</w:t>
      </w:r>
      <w:r>
        <w:rPr>
          <w:rFonts w:hint="eastAsia" w:ascii="宋体" w:hAnsi="宋体" w:cs="宋体"/>
          <w:color w:val="auto"/>
          <w:sz w:val="24"/>
          <w:szCs w:val="24"/>
          <w:highlight w:val="none"/>
          <w:lang w:val="en-US" w:eastAsia="zh-CN"/>
        </w:rPr>
        <w:t>临时道按</w:t>
      </w:r>
      <w:r>
        <w:rPr>
          <w:rFonts w:hint="eastAsia" w:ascii="宋体" w:hAnsi="宋体" w:cs="宋体"/>
          <w:color w:val="auto"/>
          <w:sz w:val="24"/>
          <w:szCs w:val="24"/>
          <w:highlight w:val="none"/>
        </w:rPr>
        <w:t>城市支路</w:t>
      </w:r>
      <w:r>
        <w:rPr>
          <w:rFonts w:hint="eastAsia" w:ascii="宋体" w:hAnsi="宋体" w:cs="宋体"/>
          <w:color w:val="auto"/>
          <w:sz w:val="24"/>
          <w:szCs w:val="24"/>
          <w:highlight w:val="none"/>
          <w:lang w:val="en-US" w:eastAsia="zh-CN"/>
        </w:rPr>
        <w:t>设计</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rPr>
        <w:t>根据《城市道路照明设计标准》，道路照明设计标准：</w:t>
      </w:r>
    </w:p>
    <w:p w14:paraId="57D721A5">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1、机动车交通道路照明以路面平均亮度、路面亮度总均匀度、纵向均匀度、眩光限制、环境比和诱导性为评价指标。</w:t>
      </w:r>
    </w:p>
    <w:p w14:paraId="624DDFB1">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2、人行道路照明以路面平均照度、路面最小照度和垂直照度为评价指标。</w:t>
      </w:r>
    </w:p>
    <w:p w14:paraId="27B41A93">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3、人行横道的平均水平照度不得低于人行横道所在道路的1.5倍。</w:t>
      </w:r>
    </w:p>
    <w:p w14:paraId="6DEE0558">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4、交会区照明采用照度作为评价指标。</w:t>
      </w:r>
    </w:p>
    <w:p w14:paraId="485DFF3A">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5、道路照明确保其具有良好的诱导性。</w:t>
      </w:r>
    </w:p>
    <w:p w14:paraId="24B8D14C">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6、机动车交通道路两侧设置的与机动车交通道路分隔的非机动车交通道路的平均照度值为相邻机动车交通道路的照度值的1/2。</w:t>
      </w:r>
    </w:p>
    <w:p w14:paraId="0E1A268F">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7、机动车交通道路两侧设置的人行道路照明，人行道与非机动车道分设，人行道的平均照度值为相邻非机动车道路的照度值的1/2，但不得小于5Lx。</w:t>
      </w:r>
    </w:p>
    <w:p w14:paraId="4B433D29">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8、道路照明的维护系数为0.7。</w:t>
      </w:r>
    </w:p>
    <w:p w14:paraId="0BCF315D">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机动车交通道路照明标准值：</w:t>
      </w:r>
    </w:p>
    <w:tbl>
      <w:tblPr>
        <w:tblStyle w:val="88"/>
        <w:tblW w:w="9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509"/>
        <w:gridCol w:w="1151"/>
        <w:gridCol w:w="939"/>
        <w:gridCol w:w="1205"/>
        <w:gridCol w:w="633"/>
        <w:gridCol w:w="2139"/>
        <w:gridCol w:w="745"/>
      </w:tblGrid>
      <w:tr w14:paraId="5F88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1038" w:type="dxa"/>
            <w:vMerge w:val="restart"/>
            <w:noWrap w:val="0"/>
            <w:vAlign w:val="center"/>
          </w:tcPr>
          <w:p w14:paraId="08830F76">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道路级别</w:t>
            </w:r>
          </w:p>
        </w:tc>
        <w:tc>
          <w:tcPr>
            <w:tcW w:w="3599" w:type="dxa"/>
            <w:gridSpan w:val="3"/>
            <w:noWrap w:val="0"/>
            <w:vAlign w:val="center"/>
          </w:tcPr>
          <w:p w14:paraId="3BA2AA70">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路面亮度</w:t>
            </w:r>
          </w:p>
        </w:tc>
        <w:tc>
          <w:tcPr>
            <w:tcW w:w="1838" w:type="dxa"/>
            <w:gridSpan w:val="2"/>
            <w:noWrap w:val="0"/>
            <w:vAlign w:val="center"/>
          </w:tcPr>
          <w:p w14:paraId="41D3EA58">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照   度</w:t>
            </w:r>
          </w:p>
        </w:tc>
        <w:tc>
          <w:tcPr>
            <w:tcW w:w="2139" w:type="dxa"/>
            <w:vMerge w:val="restart"/>
            <w:noWrap w:val="0"/>
            <w:vAlign w:val="center"/>
          </w:tcPr>
          <w:p w14:paraId="5BF13490">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眩光限制域值增量TI（％）最大初始值</w:t>
            </w:r>
          </w:p>
        </w:tc>
        <w:tc>
          <w:tcPr>
            <w:tcW w:w="745" w:type="dxa"/>
            <w:vMerge w:val="restart"/>
            <w:noWrap w:val="0"/>
            <w:vAlign w:val="center"/>
          </w:tcPr>
          <w:p w14:paraId="156332BA">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环境比SR</w:t>
            </w:r>
          </w:p>
          <w:p w14:paraId="7B72C03C">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最小值</w:t>
            </w:r>
          </w:p>
        </w:tc>
      </w:tr>
      <w:tr w14:paraId="235AC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038" w:type="dxa"/>
            <w:vMerge w:val="continue"/>
            <w:noWrap w:val="0"/>
            <w:vAlign w:val="center"/>
          </w:tcPr>
          <w:p w14:paraId="2FC9371B">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p>
        </w:tc>
        <w:tc>
          <w:tcPr>
            <w:tcW w:w="1509" w:type="dxa"/>
            <w:noWrap w:val="0"/>
            <w:vAlign w:val="center"/>
          </w:tcPr>
          <w:p w14:paraId="5658CF95">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平均亮度Lav(cd/m2)维持值</w:t>
            </w:r>
          </w:p>
        </w:tc>
        <w:tc>
          <w:tcPr>
            <w:tcW w:w="1151" w:type="dxa"/>
            <w:noWrap w:val="0"/>
            <w:vAlign w:val="center"/>
          </w:tcPr>
          <w:p w14:paraId="77A00471">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总均匀度U0最小值</w:t>
            </w:r>
          </w:p>
        </w:tc>
        <w:tc>
          <w:tcPr>
            <w:tcW w:w="939" w:type="dxa"/>
            <w:noWrap w:val="0"/>
            <w:vAlign w:val="center"/>
          </w:tcPr>
          <w:p w14:paraId="39CAC582">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纵向均匀度UL</w:t>
            </w:r>
          </w:p>
          <w:p w14:paraId="72748E58">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最小值</w:t>
            </w:r>
          </w:p>
        </w:tc>
        <w:tc>
          <w:tcPr>
            <w:tcW w:w="1205" w:type="dxa"/>
            <w:noWrap w:val="0"/>
            <w:vAlign w:val="center"/>
          </w:tcPr>
          <w:p w14:paraId="4939F182">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平均照度Eav(Lx)</w:t>
            </w:r>
          </w:p>
          <w:p w14:paraId="46854EFC">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维持值</w:t>
            </w:r>
          </w:p>
        </w:tc>
        <w:tc>
          <w:tcPr>
            <w:tcW w:w="633" w:type="dxa"/>
            <w:noWrap w:val="0"/>
            <w:vAlign w:val="center"/>
          </w:tcPr>
          <w:p w14:paraId="0DD9535E">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均匀度</w:t>
            </w:r>
          </w:p>
          <w:p w14:paraId="3B5B25B6">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UE</w:t>
            </w:r>
          </w:p>
        </w:tc>
        <w:tc>
          <w:tcPr>
            <w:tcW w:w="2139" w:type="dxa"/>
            <w:vMerge w:val="continue"/>
            <w:noWrap w:val="0"/>
            <w:vAlign w:val="center"/>
          </w:tcPr>
          <w:p w14:paraId="470E97B9">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p>
        </w:tc>
        <w:tc>
          <w:tcPr>
            <w:tcW w:w="745" w:type="dxa"/>
            <w:vMerge w:val="continue"/>
            <w:noWrap w:val="0"/>
            <w:vAlign w:val="center"/>
          </w:tcPr>
          <w:p w14:paraId="5C483950">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p>
        </w:tc>
      </w:tr>
      <w:tr w14:paraId="66DFC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38" w:type="dxa"/>
            <w:noWrap w:val="0"/>
            <w:vAlign w:val="center"/>
          </w:tcPr>
          <w:p w14:paraId="656F5770">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支路</w:t>
            </w:r>
          </w:p>
        </w:tc>
        <w:tc>
          <w:tcPr>
            <w:tcW w:w="1509" w:type="dxa"/>
            <w:noWrap w:val="0"/>
            <w:vAlign w:val="center"/>
          </w:tcPr>
          <w:p w14:paraId="6504A606">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0.75</w:t>
            </w:r>
          </w:p>
        </w:tc>
        <w:tc>
          <w:tcPr>
            <w:tcW w:w="1151" w:type="dxa"/>
            <w:noWrap w:val="0"/>
            <w:vAlign w:val="center"/>
          </w:tcPr>
          <w:p w14:paraId="276E2209">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0.4</w:t>
            </w:r>
          </w:p>
        </w:tc>
        <w:tc>
          <w:tcPr>
            <w:tcW w:w="939" w:type="dxa"/>
            <w:noWrap w:val="0"/>
            <w:vAlign w:val="center"/>
          </w:tcPr>
          <w:p w14:paraId="7EF875F4">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w:t>
            </w:r>
          </w:p>
        </w:tc>
        <w:tc>
          <w:tcPr>
            <w:tcW w:w="1205" w:type="dxa"/>
            <w:noWrap w:val="0"/>
            <w:vAlign w:val="center"/>
          </w:tcPr>
          <w:p w14:paraId="0F82F74F">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10</w:t>
            </w:r>
          </w:p>
        </w:tc>
        <w:tc>
          <w:tcPr>
            <w:tcW w:w="633" w:type="dxa"/>
            <w:noWrap w:val="0"/>
            <w:vAlign w:val="center"/>
          </w:tcPr>
          <w:p w14:paraId="378E117F">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0.3</w:t>
            </w:r>
          </w:p>
        </w:tc>
        <w:tc>
          <w:tcPr>
            <w:tcW w:w="2139" w:type="dxa"/>
            <w:noWrap w:val="0"/>
            <w:vAlign w:val="center"/>
          </w:tcPr>
          <w:p w14:paraId="356094C1">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15</w:t>
            </w:r>
          </w:p>
        </w:tc>
        <w:tc>
          <w:tcPr>
            <w:tcW w:w="745" w:type="dxa"/>
            <w:noWrap w:val="0"/>
            <w:vAlign w:val="center"/>
          </w:tcPr>
          <w:p w14:paraId="138EB7AE">
            <w:pPr>
              <w:spacing w:line="360" w:lineRule="auto"/>
              <w:jc w:val="center"/>
              <w:rPr>
                <w:rFonts w:hint="eastAsia" w:ascii="宋体" w:hAnsi="宋体" w:cs="宋体"/>
                <w:color w:val="auto"/>
                <w:szCs w:val="21"/>
              </w:rPr>
            </w:pPr>
            <w:r>
              <w:rPr>
                <w:rFonts w:hint="eastAsia" w:ascii="新宋体" w:hAnsi="新宋体" w:eastAsia="新宋体" w:cs="新宋体"/>
                <w:color w:val="auto"/>
                <w:sz w:val="24"/>
              </w:rPr>
              <w:t>--</w:t>
            </w:r>
          </w:p>
        </w:tc>
      </w:tr>
    </w:tbl>
    <w:p w14:paraId="3CA8CC80">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p>
    <w:p w14:paraId="5A7368BF">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人行道路照明标准值：</w:t>
      </w:r>
    </w:p>
    <w:tbl>
      <w:tblPr>
        <w:tblStyle w:val="88"/>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707"/>
        <w:gridCol w:w="2404"/>
        <w:gridCol w:w="2547"/>
        <w:gridCol w:w="2548"/>
      </w:tblGrid>
      <w:tr w14:paraId="6372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jc w:val="center"/>
        </w:trPr>
        <w:tc>
          <w:tcPr>
            <w:tcW w:w="1153" w:type="dxa"/>
            <w:noWrap w:val="0"/>
            <w:vAlign w:val="center"/>
          </w:tcPr>
          <w:p w14:paraId="59BCC8AE">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夜间行人流量</w:t>
            </w:r>
          </w:p>
        </w:tc>
        <w:tc>
          <w:tcPr>
            <w:tcW w:w="707" w:type="dxa"/>
            <w:noWrap w:val="0"/>
            <w:vAlign w:val="center"/>
          </w:tcPr>
          <w:p w14:paraId="25FFE36A">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区域</w:t>
            </w:r>
          </w:p>
        </w:tc>
        <w:tc>
          <w:tcPr>
            <w:tcW w:w="2404" w:type="dxa"/>
            <w:noWrap w:val="0"/>
            <w:vAlign w:val="center"/>
          </w:tcPr>
          <w:p w14:paraId="0BBCDED0">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路面平均照度Eav(Lx)，维持值</w:t>
            </w:r>
          </w:p>
        </w:tc>
        <w:tc>
          <w:tcPr>
            <w:tcW w:w="2547" w:type="dxa"/>
            <w:noWrap w:val="0"/>
            <w:vAlign w:val="center"/>
          </w:tcPr>
          <w:p w14:paraId="2C9ED1C6">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路面最小照度Emin(Lx)，维持值</w:t>
            </w:r>
          </w:p>
        </w:tc>
        <w:tc>
          <w:tcPr>
            <w:tcW w:w="2548" w:type="dxa"/>
            <w:noWrap w:val="0"/>
            <w:vAlign w:val="center"/>
          </w:tcPr>
          <w:p w14:paraId="03F5FDB0">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路面垂直照度Emin(Lx)，维持值</w:t>
            </w:r>
          </w:p>
        </w:tc>
      </w:tr>
      <w:tr w14:paraId="0618B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1153" w:type="dxa"/>
            <w:noWrap w:val="0"/>
            <w:vAlign w:val="center"/>
          </w:tcPr>
          <w:p w14:paraId="630B9313">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流量</w:t>
            </w:r>
            <w:r>
              <w:rPr>
                <w:rFonts w:hint="eastAsia" w:ascii="宋体" w:hAnsi="宋体" w:eastAsia="宋体" w:cs="宋体"/>
                <w:color w:val="auto"/>
                <w:sz w:val="21"/>
                <w:szCs w:val="21"/>
                <w:lang w:eastAsia="zh-CN"/>
              </w:rPr>
              <w:t>高</w:t>
            </w:r>
            <w:r>
              <w:rPr>
                <w:rFonts w:hint="eastAsia" w:ascii="宋体" w:hAnsi="宋体" w:eastAsia="宋体" w:cs="宋体"/>
                <w:color w:val="auto"/>
                <w:sz w:val="21"/>
                <w:szCs w:val="21"/>
              </w:rPr>
              <w:t>的道路</w:t>
            </w:r>
          </w:p>
        </w:tc>
        <w:tc>
          <w:tcPr>
            <w:tcW w:w="707" w:type="dxa"/>
            <w:noWrap w:val="0"/>
            <w:vAlign w:val="center"/>
          </w:tcPr>
          <w:p w14:paraId="5204C18D">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居住区</w:t>
            </w:r>
          </w:p>
        </w:tc>
        <w:tc>
          <w:tcPr>
            <w:tcW w:w="2404" w:type="dxa"/>
            <w:noWrap w:val="0"/>
            <w:vAlign w:val="center"/>
          </w:tcPr>
          <w:p w14:paraId="4004646B">
            <w:pPr>
              <w:pStyle w:val="86"/>
              <w:adjustRightInd w:val="0"/>
              <w:snapToGrid w:val="0"/>
              <w:spacing w:after="0" w:line="360" w:lineRule="auto"/>
              <w:ind w:firstLine="0" w:firstLineChars="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c>
          <w:tcPr>
            <w:tcW w:w="2547" w:type="dxa"/>
            <w:noWrap w:val="0"/>
            <w:vAlign w:val="center"/>
          </w:tcPr>
          <w:p w14:paraId="463F782D">
            <w:pPr>
              <w:pStyle w:val="86"/>
              <w:adjustRightInd w:val="0"/>
              <w:snapToGrid w:val="0"/>
              <w:spacing w:after="0" w:line="360" w:lineRule="auto"/>
              <w:ind w:firstLine="0" w:firstLineChars="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c>
          <w:tcPr>
            <w:tcW w:w="2548" w:type="dxa"/>
            <w:noWrap w:val="0"/>
            <w:vAlign w:val="center"/>
          </w:tcPr>
          <w:p w14:paraId="5ED4AE12">
            <w:pPr>
              <w:pStyle w:val="86"/>
              <w:adjustRightInd w:val="0"/>
              <w:snapToGrid w:val="0"/>
              <w:spacing w:after="0" w:line="360" w:lineRule="auto"/>
              <w:ind w:firstLine="0" w:firstLineChars="0"/>
              <w:jc w:val="cente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2</w:t>
            </w:r>
          </w:p>
        </w:tc>
      </w:tr>
    </w:tbl>
    <w:p w14:paraId="1AA69289">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p>
    <w:p w14:paraId="3A4C7DD1">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交会区照明标准值：</w:t>
      </w:r>
    </w:p>
    <w:tbl>
      <w:tblPr>
        <w:tblStyle w:val="88"/>
        <w:tblW w:w="9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8"/>
        <w:gridCol w:w="2159"/>
        <w:gridCol w:w="1696"/>
        <w:gridCol w:w="3826"/>
      </w:tblGrid>
      <w:tr w14:paraId="41A94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678" w:type="dxa"/>
            <w:noWrap w:val="0"/>
            <w:vAlign w:val="center"/>
          </w:tcPr>
          <w:p w14:paraId="6F622FF1">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交会区类别</w:t>
            </w:r>
          </w:p>
        </w:tc>
        <w:tc>
          <w:tcPr>
            <w:tcW w:w="2159" w:type="dxa"/>
            <w:noWrap w:val="0"/>
            <w:vAlign w:val="center"/>
          </w:tcPr>
          <w:p w14:paraId="555315C4">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路面平均照度Eav(Lx)，维持值</w:t>
            </w:r>
          </w:p>
        </w:tc>
        <w:tc>
          <w:tcPr>
            <w:tcW w:w="1696" w:type="dxa"/>
            <w:noWrap w:val="0"/>
            <w:vAlign w:val="center"/>
          </w:tcPr>
          <w:p w14:paraId="1076ECC6">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照度均匀度</w:t>
            </w:r>
          </w:p>
          <w:p w14:paraId="746292B6">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UE</w:t>
            </w:r>
          </w:p>
        </w:tc>
        <w:tc>
          <w:tcPr>
            <w:tcW w:w="3826" w:type="dxa"/>
            <w:noWrap w:val="0"/>
            <w:vAlign w:val="center"/>
          </w:tcPr>
          <w:p w14:paraId="2B0D3631">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眩光限制</w:t>
            </w:r>
          </w:p>
        </w:tc>
      </w:tr>
      <w:tr w14:paraId="6758C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78" w:type="dxa"/>
            <w:noWrap w:val="0"/>
            <w:vAlign w:val="center"/>
          </w:tcPr>
          <w:p w14:paraId="10CB2D28">
            <w:pPr>
              <w:pStyle w:val="86"/>
              <w:adjustRightInd w:val="0"/>
              <w:snapToGrid w:val="0"/>
              <w:spacing w:after="0" w:line="360" w:lineRule="auto"/>
              <w:ind w:left="0" w:leftChars="0" w:firstLine="0" w:firstLineChars="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主干路与次干路</w:t>
            </w:r>
            <w:r>
              <w:rPr>
                <w:rFonts w:hint="eastAsia" w:ascii="宋体" w:hAnsi="宋体" w:cs="宋体"/>
                <w:color w:val="auto"/>
                <w:sz w:val="24"/>
                <w:szCs w:val="24"/>
                <w:highlight w:val="none"/>
                <w:lang w:eastAsia="zh-CN"/>
              </w:rPr>
              <w:t>、支路</w:t>
            </w:r>
          </w:p>
        </w:tc>
        <w:tc>
          <w:tcPr>
            <w:tcW w:w="2159" w:type="dxa"/>
            <w:noWrap w:val="0"/>
            <w:vAlign w:val="center"/>
          </w:tcPr>
          <w:p w14:paraId="6A4F4EA0">
            <w:pPr>
              <w:pStyle w:val="86"/>
              <w:adjustRightInd w:val="0"/>
              <w:snapToGrid w:val="0"/>
              <w:spacing w:after="0" w:line="360" w:lineRule="auto"/>
              <w:ind w:left="0" w:leftChars="0" w:firstLine="0" w:firstLineChars="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50</w:t>
            </w:r>
          </w:p>
        </w:tc>
        <w:tc>
          <w:tcPr>
            <w:tcW w:w="1696" w:type="dxa"/>
            <w:noWrap w:val="0"/>
            <w:vAlign w:val="center"/>
          </w:tcPr>
          <w:p w14:paraId="1EE2992C">
            <w:pPr>
              <w:pStyle w:val="86"/>
              <w:adjustRightInd w:val="0"/>
              <w:snapToGrid w:val="0"/>
              <w:spacing w:after="0" w:line="360" w:lineRule="auto"/>
              <w:ind w:left="0" w:leftChars="0" w:firstLine="0" w:firstLineChars="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0.4</w:t>
            </w:r>
          </w:p>
        </w:tc>
        <w:tc>
          <w:tcPr>
            <w:tcW w:w="3826" w:type="dxa"/>
            <w:vMerge w:val="restart"/>
            <w:noWrap w:val="0"/>
            <w:vAlign w:val="center"/>
          </w:tcPr>
          <w:p w14:paraId="60255338">
            <w:pPr>
              <w:pStyle w:val="86"/>
              <w:adjustRightInd w:val="0"/>
              <w:snapToGrid w:val="0"/>
              <w:spacing w:after="0" w:line="360" w:lineRule="auto"/>
              <w:ind w:firstLine="480" w:firstLineChars="20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在驾驶员观看灯具的方位角上，灯具在80°和90°高度角方向上的光强分别不得超过30cd/1000lm和10cd/1000lm</w:t>
            </w:r>
          </w:p>
        </w:tc>
      </w:tr>
      <w:tr w14:paraId="7473F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678" w:type="dxa"/>
            <w:noWrap w:val="0"/>
            <w:vAlign w:val="center"/>
          </w:tcPr>
          <w:p w14:paraId="194B6731">
            <w:pPr>
              <w:pStyle w:val="86"/>
              <w:adjustRightInd w:val="0"/>
              <w:snapToGrid w:val="0"/>
              <w:spacing w:line="360" w:lineRule="auto"/>
              <w:ind w:firstLine="0" w:firstLineChars="0"/>
              <w:jc w:val="center"/>
              <w:rPr>
                <w:rFonts w:hint="eastAsia" w:ascii="宋体" w:hAnsi="宋体" w:eastAsia="宋体" w:cs="宋体"/>
                <w:color w:val="auto"/>
                <w:sz w:val="21"/>
                <w:szCs w:val="21"/>
              </w:rPr>
            </w:pPr>
            <w:r>
              <w:rPr>
                <w:rFonts w:hint="eastAsia" w:ascii="宋体" w:hAnsi="宋体" w:cs="宋体"/>
                <w:color w:val="auto"/>
                <w:sz w:val="24"/>
                <w:szCs w:val="24"/>
                <w:highlight w:val="none"/>
              </w:rPr>
              <w:t>支路与支路</w:t>
            </w:r>
          </w:p>
        </w:tc>
        <w:tc>
          <w:tcPr>
            <w:tcW w:w="2159" w:type="dxa"/>
            <w:noWrap w:val="0"/>
            <w:vAlign w:val="center"/>
          </w:tcPr>
          <w:p w14:paraId="097E5E0A">
            <w:pPr>
              <w:pStyle w:val="86"/>
              <w:adjustRightInd w:val="0"/>
              <w:snapToGrid w:val="0"/>
              <w:spacing w:line="360" w:lineRule="auto"/>
              <w:ind w:left="0" w:leftChars="0" w:firstLine="0" w:firstLineChars="0"/>
              <w:jc w:val="center"/>
              <w:rPr>
                <w:rFonts w:hint="eastAsia" w:ascii="宋体" w:hAnsi="宋体" w:eastAsia="宋体" w:cs="宋体"/>
                <w:color w:val="auto"/>
                <w:sz w:val="21"/>
                <w:szCs w:val="21"/>
              </w:rPr>
            </w:pPr>
            <w:r>
              <w:rPr>
                <w:rFonts w:hint="eastAsia" w:ascii="新宋体" w:hAnsi="新宋体" w:eastAsia="新宋体" w:cs="新宋体"/>
                <w:color w:val="auto"/>
                <w:sz w:val="24"/>
              </w:rPr>
              <w:t>20</w:t>
            </w:r>
          </w:p>
        </w:tc>
        <w:tc>
          <w:tcPr>
            <w:tcW w:w="1696" w:type="dxa"/>
            <w:noWrap w:val="0"/>
            <w:vAlign w:val="center"/>
          </w:tcPr>
          <w:p w14:paraId="0775A703">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r>
              <w:rPr>
                <w:rFonts w:hint="eastAsia" w:ascii="宋体" w:hAnsi="宋体" w:eastAsia="宋体" w:cs="宋体"/>
                <w:color w:val="auto"/>
                <w:sz w:val="21"/>
                <w:szCs w:val="21"/>
              </w:rPr>
              <w:t>0.4</w:t>
            </w:r>
          </w:p>
        </w:tc>
        <w:tc>
          <w:tcPr>
            <w:tcW w:w="3826" w:type="dxa"/>
            <w:vMerge w:val="continue"/>
            <w:noWrap w:val="0"/>
            <w:vAlign w:val="center"/>
          </w:tcPr>
          <w:p w14:paraId="3AF6951A">
            <w:pPr>
              <w:pStyle w:val="86"/>
              <w:adjustRightInd w:val="0"/>
              <w:snapToGrid w:val="0"/>
              <w:spacing w:after="0" w:line="360" w:lineRule="auto"/>
              <w:ind w:firstLine="0" w:firstLineChars="0"/>
              <w:jc w:val="center"/>
              <w:rPr>
                <w:rFonts w:hint="eastAsia" w:ascii="宋体" w:hAnsi="宋体" w:eastAsia="宋体" w:cs="宋体"/>
                <w:color w:val="auto"/>
                <w:sz w:val="21"/>
                <w:szCs w:val="21"/>
              </w:rPr>
            </w:pPr>
          </w:p>
        </w:tc>
      </w:tr>
    </w:tbl>
    <w:p w14:paraId="7618C4E4">
      <w:pPr>
        <w:pStyle w:val="86"/>
        <w:adjustRightInd w:val="0"/>
        <w:snapToGrid w:val="0"/>
        <w:spacing w:after="0" w:line="360" w:lineRule="auto"/>
        <w:ind w:firstLine="0" w:firstLineChars="0"/>
        <w:jc w:val="center"/>
        <w:rPr>
          <w:rFonts w:hint="eastAsia" w:ascii="宋体" w:hAnsi="宋体" w:eastAsia="宋体" w:cs="宋体"/>
          <w:b/>
          <w:color w:val="auto"/>
          <w:sz w:val="21"/>
          <w:szCs w:val="21"/>
        </w:rPr>
      </w:pPr>
    </w:p>
    <w:p w14:paraId="7610308B">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11.4</w:t>
      </w:r>
      <w:r>
        <w:rPr>
          <w:rFonts w:hint="eastAsia" w:ascii="新宋体" w:hAnsi="新宋体" w:eastAsia="新宋体" w:cs="新宋体"/>
          <w:b/>
          <w:bCs/>
          <w:color w:val="auto"/>
          <w:sz w:val="24"/>
          <w:szCs w:val="24"/>
        </w:rPr>
        <w:t>、道路照明设计</w:t>
      </w:r>
    </w:p>
    <w:p w14:paraId="619DC5A9">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1．光源、灯具、灯杆的选择</w:t>
      </w:r>
    </w:p>
    <w:p w14:paraId="3CA25325">
      <w:pPr>
        <w:pStyle w:val="86"/>
        <w:adjustRightInd w:val="0"/>
        <w:snapToGrid w:val="0"/>
        <w:spacing w:after="0" w:line="360" w:lineRule="auto"/>
        <w:ind w:firstLine="480" w:firstLineChars="200"/>
        <w:rPr>
          <w:rFonts w:hint="eastAsia" w:ascii="新宋体" w:hAnsi="新宋体" w:eastAsia="新宋体" w:cs="新宋体"/>
          <w:color w:val="auto"/>
          <w:sz w:val="24"/>
          <w:szCs w:val="24"/>
          <w:lang w:eastAsia="zh-CN"/>
        </w:rPr>
      </w:pPr>
      <w:r>
        <w:rPr>
          <w:rFonts w:hint="eastAsia" w:ascii="新宋体" w:hAnsi="新宋体" w:eastAsia="新宋体" w:cs="新宋体"/>
          <w:color w:val="auto"/>
          <w:sz w:val="24"/>
          <w:szCs w:val="24"/>
        </w:rPr>
        <w:t>1) 本工程道路照明采用LED路灯，灯具采用高压热铸铝外壳、耐腐蚀性能好的截光型</w:t>
      </w:r>
      <w:r>
        <w:rPr>
          <w:rFonts w:hint="eastAsia" w:ascii="新宋体" w:hAnsi="新宋体" w:eastAsia="新宋体" w:cs="新宋体"/>
          <w:color w:val="auto"/>
          <w:sz w:val="24"/>
          <w:szCs w:val="24"/>
          <w:lang w:val="en-US" w:eastAsia="zh-CN"/>
        </w:rPr>
        <w:t>/半</w:t>
      </w:r>
      <w:r>
        <w:rPr>
          <w:rFonts w:hint="eastAsia" w:ascii="新宋体" w:hAnsi="新宋体" w:eastAsia="新宋体" w:cs="新宋体"/>
          <w:color w:val="auto"/>
          <w:sz w:val="24"/>
          <w:szCs w:val="24"/>
        </w:rPr>
        <w:t>灯具，并采用矩形配光曲线。LED灯在额定电压和额定功率下工作时，其实际消耗的功率与额定功率之差应不大于10%；色温范围为</w:t>
      </w:r>
      <w:r>
        <w:rPr>
          <w:rFonts w:hint="eastAsia" w:ascii="新宋体" w:hAnsi="新宋体" w:eastAsia="新宋体" w:cs="新宋体"/>
          <w:color w:val="auto"/>
          <w:sz w:val="24"/>
          <w:szCs w:val="24"/>
          <w:lang w:val="en-US" w:eastAsia="zh-CN"/>
        </w:rPr>
        <w:t>28</w:t>
      </w:r>
      <w:r>
        <w:rPr>
          <w:rFonts w:hint="eastAsia" w:ascii="新宋体" w:hAnsi="新宋体" w:eastAsia="新宋体" w:cs="新宋体"/>
          <w:color w:val="auto"/>
          <w:sz w:val="24"/>
          <w:szCs w:val="24"/>
        </w:rPr>
        <w:t>00</w:t>
      </w:r>
      <w:r>
        <w:rPr>
          <w:rFonts w:hint="eastAsia" w:ascii="新宋体" w:hAnsi="新宋体" w:eastAsia="新宋体" w:cs="新宋体"/>
          <w:color w:val="auto"/>
          <w:sz w:val="24"/>
          <w:szCs w:val="24"/>
          <w:lang w:val="en-US" w:eastAsia="zh-CN"/>
        </w:rPr>
        <w:t>-3500</w:t>
      </w:r>
      <w:r>
        <w:rPr>
          <w:rFonts w:hint="eastAsia" w:ascii="新宋体" w:hAnsi="新宋体" w:eastAsia="新宋体" w:cs="新宋体"/>
          <w:color w:val="auto"/>
          <w:sz w:val="24"/>
          <w:szCs w:val="24"/>
        </w:rPr>
        <w:t>K；</w:t>
      </w:r>
      <w:r>
        <w:rPr>
          <w:rFonts w:hint="eastAsia" w:ascii="宋体" w:hAnsi="宋体" w:cs="宋体"/>
          <w:color w:val="auto"/>
          <w:sz w:val="24"/>
          <w:szCs w:val="24"/>
          <w:highlight w:val="none"/>
          <w:lang w:eastAsia="zh-CN"/>
        </w:rPr>
        <w:t>光源的显色指数</w:t>
      </w:r>
      <w:r>
        <w:rPr>
          <w:rFonts w:hint="eastAsia" w:ascii="宋体" w:hAnsi="宋体" w:cs="宋体"/>
          <w:color w:val="auto"/>
          <w:sz w:val="24"/>
          <w:szCs w:val="24"/>
          <w:highlight w:val="none"/>
          <w:lang w:val="en-US" w:eastAsia="zh-CN"/>
        </w:rPr>
        <w:t>Ra</w:t>
      </w:r>
      <w:r>
        <w:rPr>
          <w:rFonts w:hint="eastAsia" w:ascii="宋体" w:hAnsi="宋体" w:cs="宋体"/>
          <w:color w:val="auto"/>
          <w:sz w:val="24"/>
          <w:szCs w:val="24"/>
          <w:highlight w:val="none"/>
          <w:lang w:eastAsia="zh-CN"/>
        </w:rPr>
        <w:t>不小于</w:t>
      </w:r>
      <w:r>
        <w:rPr>
          <w:rFonts w:hint="eastAsia" w:ascii="宋体" w:hAnsi="宋体" w:cs="宋体"/>
          <w:color w:val="auto"/>
          <w:sz w:val="24"/>
          <w:szCs w:val="24"/>
          <w:highlight w:val="none"/>
          <w:lang w:val="en-US" w:eastAsia="zh-CN"/>
        </w:rPr>
        <w:t>60</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rPr>
        <w:t>平均寿命不低于30000h；</w:t>
      </w:r>
      <w:r>
        <w:rPr>
          <w:rFonts w:hint="eastAsia" w:ascii="新宋体" w:hAnsi="新宋体" w:eastAsia="新宋体" w:cs="新宋体"/>
          <w:color w:val="auto"/>
          <w:sz w:val="24"/>
          <w:szCs w:val="24"/>
          <w:lang w:eastAsia="zh-CN"/>
        </w:rPr>
        <w:t>整灯系统光效</w:t>
      </w:r>
      <w:r>
        <w:rPr>
          <w:rFonts w:hint="eastAsia" w:ascii="新宋体" w:hAnsi="新宋体" w:eastAsia="新宋体" w:cs="新宋体"/>
          <w:color w:val="auto"/>
          <w:sz w:val="24"/>
          <w:szCs w:val="24"/>
        </w:rPr>
        <w:t>应不低于</w:t>
      </w:r>
      <w:r>
        <w:rPr>
          <w:rFonts w:hint="eastAsia" w:ascii="新宋体" w:hAnsi="新宋体" w:eastAsia="新宋体" w:cs="新宋体"/>
          <w:color w:val="auto"/>
          <w:sz w:val="24"/>
          <w:szCs w:val="24"/>
          <w:lang w:val="en-US" w:eastAsia="zh-CN"/>
        </w:rPr>
        <w:t>125</w:t>
      </w:r>
      <w:r>
        <w:rPr>
          <w:rFonts w:hint="eastAsia" w:ascii="新宋体" w:hAnsi="新宋体" w:eastAsia="新宋体" w:cs="新宋体"/>
          <w:color w:val="auto"/>
          <w:sz w:val="24"/>
          <w:szCs w:val="24"/>
        </w:rPr>
        <w:t>lm/W</w:t>
      </w:r>
      <w:r>
        <w:rPr>
          <w:rFonts w:hint="eastAsia" w:ascii="新宋体" w:hAnsi="新宋体" w:eastAsia="新宋体" w:cs="新宋体"/>
          <w:color w:val="auto"/>
          <w:sz w:val="24"/>
          <w:szCs w:val="24"/>
          <w:lang w:eastAsia="zh-CN"/>
        </w:rPr>
        <w:t>。</w:t>
      </w:r>
      <w:r>
        <w:rPr>
          <w:rFonts w:hint="eastAsia" w:ascii="新宋体" w:hAnsi="新宋体" w:eastAsia="新宋体" w:cs="新宋体"/>
          <w:color w:val="auto"/>
          <w:sz w:val="24"/>
          <w:szCs w:val="24"/>
        </w:rPr>
        <w:t>LED灯具在正常工作3000h的光通维持率不用低于96%；6000h的光通维持率不用低于92%。LED路灯采用内置式AC220V/DC24V直流电源装置，灯具功率因数达到0.9</w:t>
      </w: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rPr>
        <w:t>以上。具防护等级</w:t>
      </w:r>
      <w:r>
        <w:rPr>
          <w:rFonts w:hint="eastAsia" w:ascii="新宋体" w:hAnsi="新宋体" w:eastAsia="新宋体" w:cs="新宋体"/>
          <w:color w:val="auto"/>
          <w:sz w:val="24"/>
          <w:szCs w:val="24"/>
          <w:lang w:eastAsia="zh-CN"/>
        </w:rPr>
        <w:t>不低于</w:t>
      </w:r>
      <w:r>
        <w:rPr>
          <w:rFonts w:hint="eastAsia" w:ascii="新宋体" w:hAnsi="新宋体" w:eastAsia="新宋体" w:cs="新宋体"/>
          <w:color w:val="auto"/>
          <w:sz w:val="24"/>
          <w:szCs w:val="24"/>
        </w:rPr>
        <w:t>IP65，灯具外壳耐腐蚀性能Ⅱ类，防触电保护等级Ⅰ</w:t>
      </w:r>
      <w:r>
        <w:rPr>
          <w:rFonts w:hint="eastAsia" w:ascii="新宋体" w:hAnsi="新宋体" w:eastAsia="新宋体" w:cs="新宋体"/>
          <w:color w:val="auto"/>
          <w:sz w:val="24"/>
          <w:szCs w:val="24"/>
          <w:lang w:eastAsia="zh-CN"/>
        </w:rPr>
        <w:t>类。</w:t>
      </w:r>
      <w:r>
        <w:rPr>
          <w:rFonts w:hint="eastAsia" w:ascii="新宋体" w:hAnsi="新宋体" w:eastAsia="新宋体" w:cs="新宋体"/>
          <w:color w:val="auto"/>
          <w:sz w:val="24"/>
          <w:szCs w:val="24"/>
          <w:lang w:val="en-US" w:eastAsia="zh-CN"/>
        </w:rPr>
        <w:t>LED光源显示指数（Ra）大于70，</w:t>
      </w:r>
      <w:r>
        <w:rPr>
          <w:rFonts w:hint="eastAsia" w:ascii="新宋体" w:hAnsi="新宋体" w:eastAsia="新宋体" w:cs="新宋体"/>
          <w:color w:val="auto"/>
          <w:sz w:val="24"/>
          <w:szCs w:val="24"/>
        </w:rPr>
        <w:t>LED灯具的寿命不应低于</w:t>
      </w:r>
      <w:r>
        <w:rPr>
          <w:rFonts w:hint="eastAsia" w:ascii="新宋体" w:hAnsi="新宋体" w:eastAsia="新宋体" w:cs="新宋体"/>
          <w:color w:val="auto"/>
          <w:sz w:val="24"/>
          <w:szCs w:val="24"/>
          <w:lang w:val="en-US" w:eastAsia="zh-CN"/>
        </w:rPr>
        <w:t>50</w:t>
      </w:r>
      <w:r>
        <w:rPr>
          <w:rFonts w:hint="eastAsia" w:ascii="新宋体" w:hAnsi="新宋体" w:eastAsia="新宋体" w:cs="新宋体"/>
          <w:color w:val="auto"/>
          <w:sz w:val="24"/>
          <w:szCs w:val="24"/>
        </w:rPr>
        <w:t>000h</w:t>
      </w:r>
      <w:r>
        <w:rPr>
          <w:rFonts w:hint="eastAsia" w:ascii="新宋体" w:hAnsi="新宋体" w:eastAsia="新宋体" w:cs="新宋体"/>
          <w:color w:val="auto"/>
          <w:sz w:val="24"/>
          <w:szCs w:val="24"/>
          <w:lang w:eastAsia="zh-CN"/>
        </w:rPr>
        <w:t>。</w:t>
      </w:r>
    </w:p>
    <w:p w14:paraId="29F89100">
      <w:pPr>
        <w:pStyle w:val="86"/>
        <w:adjustRightInd w:val="0"/>
        <w:snapToGrid w:val="0"/>
        <w:spacing w:after="0" w:line="360" w:lineRule="auto"/>
        <w:ind w:firstLine="480" w:firstLineChars="200"/>
        <w:rPr>
          <w:rFonts w:hint="eastAsia" w:ascii="新宋体" w:hAnsi="新宋体" w:eastAsia="新宋体" w:cs="新宋体"/>
          <w:b w:val="0"/>
          <w:bCs w:val="0"/>
          <w:color w:val="auto"/>
          <w:sz w:val="24"/>
          <w:szCs w:val="24"/>
          <w:lang w:eastAsia="zh-CN"/>
        </w:rPr>
      </w:pPr>
      <w:r>
        <w:rPr>
          <w:rFonts w:hint="eastAsia" w:ascii="新宋体" w:hAnsi="新宋体" w:eastAsia="新宋体" w:cs="新宋体"/>
          <w:color w:val="auto"/>
          <w:sz w:val="24"/>
          <w:szCs w:val="24"/>
        </w:rPr>
        <w:t>2) 交叉路口照明采用LED光源，广场泛光照明灯具。</w:t>
      </w:r>
      <w:r>
        <w:rPr>
          <w:rFonts w:hint="default" w:ascii="宋体" w:hAnsi="宋体" w:cs="宋体"/>
          <w:color w:val="FF0000"/>
          <w:sz w:val="24"/>
          <w:szCs w:val="24"/>
          <w:lang w:val="en-US" w:eastAsia="zh-CN"/>
        </w:rPr>
        <w:t>室外照明采用泛光照明时，应控制投射范围，散射到被照面之外的溢散光不应超过20%</w:t>
      </w:r>
      <w:r>
        <w:rPr>
          <w:rFonts w:hint="eastAsia" w:ascii="新宋体" w:hAnsi="新宋体" w:eastAsia="新宋体" w:cs="新宋体"/>
          <w:color w:val="auto"/>
          <w:sz w:val="24"/>
          <w:szCs w:val="24"/>
          <w:lang w:eastAsia="zh-CN"/>
        </w:rPr>
        <w:t>。</w:t>
      </w:r>
    </w:p>
    <w:p w14:paraId="6DA4668E">
      <w:pPr>
        <w:pStyle w:val="86"/>
        <w:adjustRightInd w:val="0"/>
        <w:snapToGrid w:val="0"/>
        <w:spacing w:after="0" w:line="360" w:lineRule="auto"/>
        <w:ind w:firstLine="480" w:firstLineChars="200"/>
        <w:rPr>
          <w:rFonts w:hint="eastAsia" w:ascii="新宋体" w:hAnsi="新宋体" w:eastAsia="新宋体" w:cs="新宋体"/>
          <w:color w:val="auto"/>
          <w:sz w:val="24"/>
          <w:szCs w:val="24"/>
          <w:lang w:eastAsia="zh-CN"/>
        </w:rPr>
      </w:pPr>
      <w:r>
        <w:rPr>
          <w:rFonts w:hint="eastAsia" w:ascii="新宋体" w:hAnsi="新宋体" w:eastAsia="新宋体" w:cs="新宋体"/>
          <w:color w:val="auto"/>
          <w:sz w:val="24"/>
          <w:szCs w:val="24"/>
        </w:rPr>
        <w:t>3) 灯具的灯杆采用带良好防护涂层的钢杆，灯杆内外应采用热镀锌防腐处理后，表面再进行彩色喷塑处理，防腐蚀年限不少于30年，并能抵抗40米/秒风速</w:t>
      </w:r>
      <w:r>
        <w:rPr>
          <w:rFonts w:hint="eastAsia" w:ascii="新宋体" w:hAnsi="新宋体" w:eastAsia="新宋体" w:cs="新宋体"/>
          <w:color w:val="auto"/>
          <w:sz w:val="24"/>
          <w:szCs w:val="24"/>
          <w:lang w:eastAsia="zh-CN"/>
        </w:rPr>
        <w:t>，可抵抗</w:t>
      </w:r>
      <w:r>
        <w:rPr>
          <w:rFonts w:hint="eastAsia" w:ascii="新宋体" w:hAnsi="新宋体" w:eastAsia="新宋体" w:cs="新宋体"/>
          <w:color w:val="auto"/>
          <w:sz w:val="24"/>
          <w:szCs w:val="24"/>
          <w:lang w:val="en-US" w:eastAsia="zh-CN"/>
        </w:rPr>
        <w:t>0.5kN/m²</w:t>
      </w:r>
      <w:r>
        <w:rPr>
          <w:rFonts w:hint="eastAsia" w:ascii="新宋体" w:hAnsi="新宋体" w:eastAsia="新宋体" w:cs="新宋体"/>
          <w:color w:val="auto"/>
          <w:sz w:val="24"/>
          <w:szCs w:val="24"/>
          <w:lang w:eastAsia="zh-CN"/>
        </w:rPr>
        <w:t>。</w:t>
      </w:r>
    </w:p>
    <w:p w14:paraId="520AA158">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 照明方式</w:t>
      </w:r>
    </w:p>
    <w:p w14:paraId="2508E82A">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 道路照明根据道路和场所的特点及照度要求，选用常规照明方式。</w:t>
      </w:r>
    </w:p>
    <w:p w14:paraId="258095FB">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 道路照明计算：</w:t>
      </w:r>
    </w:p>
    <w:p w14:paraId="3065E43D">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pict>
          <v:shape id="Picture 9" o:spid="_x0000_s1027" o:spt="75" type="#_x0000_t75" style="position:absolute;left:0pt;margin-left:156.7pt;margin-top:0.8pt;height:35.4pt;width:81.25pt;z-index:251659264;mso-width-relative:page;mso-height-relative:page;" o:ole="t" filled="f" o:preferrelative="t" stroked="f" coordsize="21600,21600">
            <v:path/>
            <v:fill on="f" focussize="0,0"/>
            <v:stroke on="f"/>
            <v:imagedata r:id="rId23" o:title=""/>
            <o:lock v:ext="edit" aspectratio="t"/>
          </v:shape>
          <o:OLEObject Type="Embed" ProgID="" ShapeID="Picture 9" DrawAspect="Content" ObjectID="_1468075725" r:id="rId22">
            <o:LockedField>false</o:LockedField>
          </o:OLEObject>
        </w:pict>
      </w:r>
    </w:p>
    <w:p w14:paraId="7415D116">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p>
    <w:p w14:paraId="1050B4C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Eav－道路平均照度。</w:t>
      </w:r>
    </w:p>
    <w:p w14:paraId="67F04416">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￠－光源的总光通量。</w:t>
      </w:r>
    </w:p>
    <w:p w14:paraId="249B56E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K－维护系数＝0.7。</w:t>
      </w:r>
    </w:p>
    <w:p w14:paraId="4B7B28DC">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U－利用系数＝0.</w:t>
      </w:r>
      <w:r>
        <w:rPr>
          <w:rFonts w:hint="eastAsia" w:ascii="新宋体" w:hAnsi="新宋体" w:eastAsia="新宋体" w:cs="新宋体"/>
          <w:color w:val="auto"/>
          <w:sz w:val="24"/>
          <w:szCs w:val="24"/>
          <w:lang w:val="en-US" w:eastAsia="zh-CN"/>
        </w:rPr>
        <w:t>6</w:t>
      </w:r>
      <w:r>
        <w:rPr>
          <w:rFonts w:hint="eastAsia" w:ascii="新宋体" w:hAnsi="新宋体" w:eastAsia="新宋体" w:cs="新宋体"/>
          <w:color w:val="auto"/>
          <w:sz w:val="24"/>
          <w:szCs w:val="24"/>
        </w:rPr>
        <w:t>。</w:t>
      </w:r>
    </w:p>
    <w:p w14:paraId="34DB538B">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N－布灯系数，在单侧排列及交错排列时N＝1；在对称排列时N＝2。</w:t>
      </w:r>
    </w:p>
    <w:p w14:paraId="2C84FFD0">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W－道路宽度。</w:t>
      </w:r>
    </w:p>
    <w:p w14:paraId="35482438">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S－路灯安装间距。</w:t>
      </w:r>
    </w:p>
    <w:p w14:paraId="11C56D45">
      <w:pPr>
        <w:pStyle w:val="86"/>
        <w:numPr>
          <w:ilvl w:val="0"/>
          <w:numId w:val="17"/>
        </w:numPr>
        <w:adjustRightInd w:val="0"/>
        <w:snapToGrid w:val="0"/>
        <w:spacing w:after="0" w:line="360" w:lineRule="auto"/>
        <w:ind w:firstLine="480" w:firstLineChars="200"/>
        <w:rPr>
          <w:rFonts w:hint="eastAsia" w:ascii="新宋体" w:hAnsi="新宋体" w:eastAsia="新宋体" w:cs="新宋体"/>
          <w:b w:val="0"/>
          <w:bCs w:val="0"/>
          <w:color w:val="auto"/>
          <w:sz w:val="24"/>
          <w:szCs w:val="24"/>
        </w:rPr>
      </w:pPr>
      <w:r>
        <w:rPr>
          <w:rFonts w:hint="eastAsia" w:ascii="宋体" w:hAnsi="宋体" w:cs="宋体"/>
          <w:b w:val="0"/>
          <w:bCs w:val="0"/>
          <w:color w:val="auto"/>
          <w:sz w:val="24"/>
          <w:szCs w:val="24"/>
          <w:highlight w:val="none"/>
        </w:rPr>
        <w:t>本工程</w:t>
      </w:r>
      <w:r>
        <w:rPr>
          <w:rFonts w:hint="eastAsia" w:ascii="宋体" w:hAnsi="宋体" w:cs="宋体"/>
          <w:b w:val="0"/>
          <w:bCs w:val="0"/>
          <w:color w:val="auto"/>
          <w:sz w:val="24"/>
          <w:szCs w:val="24"/>
          <w:highlight w:val="none"/>
          <w:lang w:val="en-US" w:eastAsia="zh-CN"/>
        </w:rPr>
        <w:t>临时</w:t>
      </w:r>
      <w:r>
        <w:rPr>
          <w:rFonts w:hint="eastAsia" w:ascii="宋体" w:hAnsi="宋体" w:cs="宋体"/>
          <w:b w:val="0"/>
          <w:bCs w:val="0"/>
          <w:color w:val="auto"/>
          <w:sz w:val="24"/>
          <w:szCs w:val="24"/>
          <w:highlight w:val="none"/>
        </w:rPr>
        <w:t>道路等级为城市支路</w:t>
      </w:r>
      <w:r>
        <w:rPr>
          <w:rFonts w:hint="eastAsia" w:ascii="新宋体" w:hAnsi="新宋体" w:eastAsia="新宋体" w:cs="新宋体"/>
          <w:b w:val="0"/>
          <w:bCs w:val="0"/>
          <w:color w:val="auto"/>
          <w:sz w:val="24"/>
          <w:szCs w:val="24"/>
          <w:lang w:eastAsia="zh-CN"/>
        </w:rPr>
        <w:t>。</w:t>
      </w:r>
    </w:p>
    <w:p w14:paraId="00148D1D">
      <w:pPr>
        <w:pStyle w:val="86"/>
        <w:adjustRightInd w:val="0"/>
        <w:snapToGrid w:val="0"/>
        <w:spacing w:after="0" w:line="360" w:lineRule="auto"/>
        <w:ind w:firstLine="480" w:firstLineChars="200"/>
        <w:rPr>
          <w:rFonts w:hint="eastAsia" w:ascii="新宋体" w:hAnsi="新宋体" w:eastAsia="新宋体" w:cs="新宋体"/>
          <w:b w:val="0"/>
          <w:bCs w:val="0"/>
          <w:color w:val="auto"/>
          <w:sz w:val="24"/>
          <w:szCs w:val="24"/>
          <w:lang w:val="sq-AL" w:eastAsia="zh-CN"/>
        </w:rPr>
      </w:pPr>
      <w:r>
        <w:rPr>
          <w:rFonts w:hint="eastAsia" w:ascii="新宋体" w:hAnsi="新宋体" w:eastAsia="新宋体" w:cs="新宋体"/>
          <w:b w:val="0"/>
          <w:bCs w:val="0"/>
          <w:color w:val="auto"/>
          <w:sz w:val="24"/>
          <w:szCs w:val="24"/>
          <w:lang w:val="sq-AL" w:eastAsia="zh-CN"/>
        </w:rPr>
        <w:t>灯具的布置采用</w:t>
      </w:r>
      <w:r>
        <w:rPr>
          <w:rFonts w:hint="eastAsia" w:ascii="新宋体" w:hAnsi="新宋体" w:eastAsia="新宋体" w:cs="新宋体"/>
          <w:b w:val="0"/>
          <w:bCs w:val="0"/>
          <w:color w:val="auto"/>
          <w:sz w:val="24"/>
          <w:szCs w:val="24"/>
          <w:lang w:val="en-US" w:eastAsia="zh-CN"/>
        </w:rPr>
        <w:t>单</w:t>
      </w:r>
      <w:r>
        <w:rPr>
          <w:rFonts w:hint="eastAsia" w:ascii="新宋体" w:hAnsi="新宋体" w:eastAsia="新宋体" w:cs="新宋体"/>
          <w:b w:val="0"/>
          <w:bCs w:val="0"/>
          <w:color w:val="auto"/>
          <w:sz w:val="24"/>
          <w:szCs w:val="24"/>
          <w:lang w:val="sq-AL" w:eastAsia="zh-CN"/>
        </w:rPr>
        <w:t>挑臂路灯</w:t>
      </w:r>
      <w:r>
        <w:rPr>
          <w:rFonts w:hint="eastAsia" w:ascii="新宋体" w:hAnsi="新宋体" w:eastAsia="新宋体" w:cs="新宋体"/>
          <w:b w:val="0"/>
          <w:bCs w:val="0"/>
          <w:color w:val="auto"/>
          <w:sz w:val="24"/>
          <w:szCs w:val="24"/>
          <w:lang w:val="en-US" w:eastAsia="zh-CN"/>
        </w:rPr>
        <w:t>单侧</w:t>
      </w:r>
      <w:r>
        <w:rPr>
          <w:rFonts w:hint="eastAsia" w:ascii="新宋体" w:hAnsi="新宋体" w:eastAsia="新宋体" w:cs="新宋体"/>
          <w:b w:val="0"/>
          <w:bCs w:val="0"/>
          <w:color w:val="auto"/>
          <w:sz w:val="24"/>
          <w:szCs w:val="24"/>
          <w:lang w:val="sq-AL" w:eastAsia="zh-CN"/>
        </w:rPr>
        <w:t>布置方式，光源为LED灯。灯杆安装间距</w:t>
      </w:r>
      <w:r>
        <w:rPr>
          <w:rFonts w:hint="eastAsia" w:ascii="新宋体" w:hAnsi="新宋体" w:eastAsia="新宋体" w:cs="新宋体"/>
          <w:b w:val="0"/>
          <w:bCs w:val="0"/>
          <w:color w:val="auto"/>
          <w:sz w:val="24"/>
          <w:szCs w:val="24"/>
          <w:lang w:val="en-US" w:eastAsia="zh-CN"/>
        </w:rPr>
        <w:t>24</w:t>
      </w:r>
      <w:r>
        <w:rPr>
          <w:rFonts w:hint="eastAsia" w:ascii="新宋体" w:hAnsi="新宋体" w:eastAsia="新宋体" w:cs="新宋体"/>
          <w:b w:val="0"/>
          <w:bCs w:val="0"/>
          <w:color w:val="auto"/>
          <w:sz w:val="24"/>
          <w:szCs w:val="24"/>
          <w:lang w:val="sq-AL" w:eastAsia="zh-CN"/>
        </w:rPr>
        <w:t>米，灯杆距车行道边线0.</w:t>
      </w:r>
      <w:r>
        <w:rPr>
          <w:rFonts w:hint="eastAsia" w:ascii="新宋体" w:hAnsi="新宋体" w:eastAsia="新宋体" w:cs="新宋体"/>
          <w:b w:val="0"/>
          <w:bCs w:val="0"/>
          <w:color w:val="auto"/>
          <w:sz w:val="24"/>
          <w:szCs w:val="24"/>
          <w:lang w:val="en-US" w:eastAsia="zh-CN"/>
        </w:rPr>
        <w:t>6</w:t>
      </w:r>
      <w:r>
        <w:rPr>
          <w:rFonts w:hint="eastAsia" w:ascii="新宋体" w:hAnsi="新宋体" w:eastAsia="新宋体" w:cs="新宋体"/>
          <w:b w:val="0"/>
          <w:bCs w:val="0"/>
          <w:color w:val="auto"/>
          <w:sz w:val="24"/>
          <w:szCs w:val="24"/>
          <w:lang w:val="sq-AL" w:eastAsia="zh-CN"/>
        </w:rPr>
        <w:t>米。机动车道及侧，功率为</w:t>
      </w:r>
      <w:r>
        <w:rPr>
          <w:rFonts w:hint="eastAsia" w:ascii="新宋体" w:hAnsi="新宋体" w:eastAsia="新宋体" w:cs="新宋体"/>
          <w:b w:val="0"/>
          <w:bCs w:val="0"/>
          <w:color w:val="auto"/>
          <w:sz w:val="24"/>
          <w:szCs w:val="24"/>
          <w:lang w:val="en-US" w:eastAsia="zh-CN"/>
        </w:rPr>
        <w:t>60</w:t>
      </w:r>
      <w:r>
        <w:rPr>
          <w:rFonts w:hint="eastAsia" w:ascii="新宋体" w:hAnsi="新宋体" w:eastAsia="新宋体" w:cs="新宋体"/>
          <w:b w:val="0"/>
          <w:bCs w:val="0"/>
          <w:color w:val="auto"/>
          <w:sz w:val="24"/>
          <w:szCs w:val="24"/>
          <w:lang w:val="sq-AL" w:eastAsia="zh-CN"/>
        </w:rPr>
        <w:t>W，灯具的安装高度为</w:t>
      </w:r>
      <w:r>
        <w:rPr>
          <w:rFonts w:hint="eastAsia" w:ascii="新宋体" w:hAnsi="新宋体" w:eastAsia="新宋体" w:cs="新宋体"/>
          <w:b w:val="0"/>
          <w:bCs w:val="0"/>
          <w:color w:val="auto"/>
          <w:sz w:val="24"/>
          <w:szCs w:val="24"/>
          <w:lang w:val="en-US" w:eastAsia="zh-CN"/>
        </w:rPr>
        <w:t>8</w:t>
      </w:r>
      <w:r>
        <w:rPr>
          <w:rFonts w:hint="eastAsia" w:ascii="新宋体" w:hAnsi="新宋体" w:eastAsia="新宋体" w:cs="新宋体"/>
          <w:b w:val="0"/>
          <w:bCs w:val="0"/>
          <w:color w:val="auto"/>
          <w:sz w:val="24"/>
          <w:szCs w:val="24"/>
          <w:lang w:val="sq-AL" w:eastAsia="zh-CN"/>
        </w:rPr>
        <w:t>米，挑臂长度为</w:t>
      </w:r>
      <w:r>
        <w:rPr>
          <w:rFonts w:hint="eastAsia" w:ascii="新宋体" w:hAnsi="新宋体" w:eastAsia="新宋体" w:cs="新宋体"/>
          <w:b w:val="0"/>
          <w:bCs w:val="0"/>
          <w:color w:val="auto"/>
          <w:sz w:val="24"/>
          <w:szCs w:val="24"/>
          <w:lang w:val="en-US" w:eastAsia="zh-CN"/>
        </w:rPr>
        <w:t>2</w:t>
      </w:r>
      <w:r>
        <w:rPr>
          <w:rFonts w:hint="eastAsia" w:ascii="新宋体" w:hAnsi="新宋体" w:eastAsia="新宋体" w:cs="新宋体"/>
          <w:b w:val="0"/>
          <w:bCs w:val="0"/>
          <w:color w:val="auto"/>
          <w:sz w:val="24"/>
          <w:szCs w:val="24"/>
          <w:lang w:val="sq-AL" w:eastAsia="zh-CN"/>
        </w:rPr>
        <w:t>米，灯具仰角为</w:t>
      </w:r>
      <w:r>
        <w:rPr>
          <w:rFonts w:hint="eastAsia" w:ascii="新宋体" w:hAnsi="新宋体" w:eastAsia="新宋体" w:cs="新宋体"/>
          <w:b w:val="0"/>
          <w:bCs w:val="0"/>
          <w:color w:val="auto"/>
          <w:sz w:val="24"/>
          <w:szCs w:val="24"/>
          <w:lang w:val="en-US" w:eastAsia="zh-CN"/>
        </w:rPr>
        <w:t>5</w:t>
      </w:r>
      <w:r>
        <w:rPr>
          <w:rFonts w:hint="eastAsia" w:ascii="新宋体" w:hAnsi="新宋体" w:eastAsia="新宋体" w:cs="新宋体"/>
          <w:b w:val="0"/>
          <w:bCs w:val="0"/>
          <w:color w:val="auto"/>
          <w:sz w:val="24"/>
          <w:szCs w:val="24"/>
          <w:lang w:val="sq-AL" w:eastAsia="zh-CN"/>
        </w:rPr>
        <w:t>°。计算参数符合要求，灯具的布置方式及位置详见照明标准横断面图。</w:t>
      </w:r>
    </w:p>
    <w:p w14:paraId="6641158A">
      <w:pPr>
        <w:pStyle w:val="86"/>
        <w:adjustRightInd w:val="0"/>
        <w:snapToGrid w:val="0"/>
        <w:spacing w:after="0" w:line="360" w:lineRule="auto"/>
        <w:ind w:firstLine="480" w:firstLineChars="200"/>
        <w:rPr>
          <w:rFonts w:hint="eastAsia" w:ascii="新宋体" w:hAnsi="新宋体" w:eastAsia="新宋体" w:cs="新宋体"/>
          <w:b w:val="0"/>
          <w:bCs w:val="0"/>
          <w:color w:val="auto"/>
          <w:sz w:val="24"/>
          <w:szCs w:val="24"/>
          <w:lang w:eastAsia="zh-CN"/>
        </w:rPr>
      </w:pPr>
      <w:r>
        <w:rPr>
          <w:rFonts w:hint="eastAsia" w:ascii="新宋体" w:hAnsi="新宋体" w:eastAsia="新宋体" w:cs="新宋体"/>
          <w:b w:val="0"/>
          <w:bCs w:val="0"/>
          <w:color w:val="auto"/>
          <w:sz w:val="24"/>
          <w:szCs w:val="24"/>
          <w:lang w:eastAsia="zh-CN"/>
        </w:rPr>
        <w:t>计算参数符合要求，灯具的布置方式及位置详见照明标准横断面图。</w:t>
      </w:r>
    </w:p>
    <w:p w14:paraId="2462E098">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11.5</w:t>
      </w:r>
      <w:r>
        <w:rPr>
          <w:rFonts w:hint="eastAsia" w:ascii="新宋体" w:hAnsi="新宋体" w:eastAsia="新宋体" w:cs="新宋体"/>
          <w:b/>
          <w:bCs/>
          <w:color w:val="auto"/>
          <w:sz w:val="24"/>
          <w:szCs w:val="24"/>
        </w:rPr>
        <w:t>、照明供配电、照明控制</w:t>
      </w:r>
    </w:p>
    <w:p w14:paraId="401A851C">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1．照明供配电</w:t>
      </w:r>
    </w:p>
    <w:p w14:paraId="4CA87FEB">
      <w:pPr>
        <w:pStyle w:val="86"/>
        <w:adjustRightInd w:val="0"/>
        <w:snapToGrid w:val="0"/>
        <w:spacing w:after="0" w:line="360" w:lineRule="auto"/>
        <w:ind w:firstLine="480" w:firstLineChars="200"/>
        <w:rPr>
          <w:rFonts w:hint="default"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1）</w:t>
      </w:r>
      <w:r>
        <w:rPr>
          <w:rFonts w:hint="eastAsia" w:ascii="宋体" w:hAnsi="宋体" w:cs="宋体"/>
          <w:color w:val="auto"/>
          <w:sz w:val="24"/>
          <w:highlight w:val="none"/>
        </w:rPr>
        <w:t>本工程</w:t>
      </w:r>
      <w:r>
        <w:rPr>
          <w:rFonts w:hint="eastAsia" w:ascii="宋体" w:hAnsi="宋体" w:cs="宋体"/>
          <w:color w:val="auto"/>
          <w:sz w:val="24"/>
          <w:highlight w:val="none"/>
          <w:lang w:val="en-US" w:eastAsia="zh-CN"/>
        </w:rPr>
        <w:t>道路照明自附近道路现状照明回路驳接</w:t>
      </w:r>
      <w:r>
        <w:rPr>
          <w:rFonts w:hint="eastAsia" w:ascii="新宋体" w:hAnsi="新宋体" w:eastAsia="新宋体" w:cs="新宋体"/>
          <w:color w:val="auto"/>
          <w:sz w:val="24"/>
          <w:szCs w:val="24"/>
          <w:lang w:val="en-US" w:eastAsia="zh-CN"/>
        </w:rPr>
        <w:t>。经复核，</w:t>
      </w:r>
      <w:r>
        <w:rPr>
          <w:rFonts w:hint="eastAsia" w:ascii="宋体" w:hAnsi="宋体" w:cs="宋体"/>
          <w:color w:val="auto"/>
          <w:sz w:val="24"/>
          <w:highlight w:val="none"/>
          <w:lang w:val="en-US" w:eastAsia="zh-CN"/>
        </w:rPr>
        <w:t>附近道路现状照明回路电缆及开关规格均满足路灯配电要求。</w:t>
      </w:r>
    </w:p>
    <w:p w14:paraId="0903BD3B">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2）</w:t>
      </w:r>
      <w:r>
        <w:rPr>
          <w:rFonts w:hint="eastAsia" w:ascii="宋体" w:hAnsi="宋体" w:cs="宋体"/>
          <w:color w:val="auto"/>
          <w:sz w:val="24"/>
          <w:highlight w:val="none"/>
        </w:rPr>
        <w:t>本工程照明负荷为</w:t>
      </w:r>
      <w:r>
        <w:rPr>
          <w:rFonts w:hint="eastAsia" w:ascii="宋体" w:hAnsi="宋体" w:cs="宋体"/>
          <w:color w:val="auto"/>
          <w:sz w:val="24"/>
          <w:highlight w:val="none"/>
          <w:lang w:val="en-US" w:eastAsia="zh-CN"/>
        </w:rPr>
        <w:t>1.1</w:t>
      </w:r>
      <w:r>
        <w:rPr>
          <w:rFonts w:hint="eastAsia" w:ascii="宋体" w:hAnsi="宋体" w:cs="宋体"/>
          <w:color w:val="auto"/>
          <w:sz w:val="24"/>
          <w:highlight w:val="none"/>
        </w:rPr>
        <w:t>kW</w:t>
      </w:r>
      <w:r>
        <w:rPr>
          <w:rFonts w:hint="eastAsia" w:ascii="新宋体" w:hAnsi="新宋体" w:eastAsia="新宋体" w:cs="新宋体"/>
          <w:color w:val="auto"/>
          <w:sz w:val="24"/>
          <w:szCs w:val="24"/>
          <w:lang w:val="en-US" w:eastAsia="zh-CN"/>
        </w:rPr>
        <w:t>。</w:t>
      </w:r>
    </w:p>
    <w:p w14:paraId="5EE3A90C">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3）低压供电方式采用TN-S系统。</w:t>
      </w:r>
    </w:p>
    <w:p w14:paraId="343855D9">
      <w:pPr>
        <w:pStyle w:val="190"/>
        <w:keepLines w:val="0"/>
        <w:pageBreakBefore w:val="0"/>
        <w:kinsoku/>
        <w:wordWrap/>
        <w:overflowPunct/>
        <w:topLinePunct w:val="0"/>
        <w:autoSpaceDE/>
        <w:autoSpaceDN/>
        <w:bidi w:val="0"/>
        <w:spacing w:beforeAutospacing="0" w:line="360" w:lineRule="auto"/>
        <w:ind w:firstLine="420"/>
        <w:textAlignment w:val="auto"/>
        <w:rPr>
          <w:rFonts w:hint="eastAsia" w:ascii="宋体" w:hAnsi="宋体" w:eastAsia="宋体" w:cs="宋体"/>
          <w:b w:val="0"/>
          <w:bCs/>
          <w:color w:val="auto"/>
          <w:sz w:val="24"/>
          <w:szCs w:val="24"/>
          <w:lang w:val="en-US" w:eastAsia="zh-CN"/>
        </w:rPr>
      </w:pPr>
      <w:r>
        <w:rPr>
          <w:rFonts w:hint="eastAsia" w:ascii="新宋体" w:hAnsi="新宋体" w:eastAsia="新宋体" w:cs="新宋体"/>
          <w:color w:val="auto"/>
          <w:sz w:val="24"/>
          <w:szCs w:val="24"/>
          <w:lang w:val="en-US" w:eastAsia="zh-CN"/>
        </w:rPr>
        <w:t xml:space="preserve">4) </w:t>
      </w:r>
      <w:r>
        <w:rPr>
          <w:rFonts w:hint="eastAsia" w:ascii="宋体" w:hAnsi="宋体" w:eastAsia="宋体" w:cs="宋体"/>
          <w:b w:val="0"/>
          <w:bCs/>
          <w:color w:val="auto"/>
          <w:sz w:val="24"/>
          <w:szCs w:val="24"/>
          <w:lang w:eastAsia="zh-CN"/>
        </w:rPr>
        <w:t>每一灯杆电气门内设置防水型电磁式漏电微型断路器,采用可靠性更高的电磁式漏电保护开关，不受雷电干扰，极少误动作；采用磁吸方式安装于灯杆内壁，维护方便；防水盒防水等级IP68，要求无任何螺钉，最大限度的降低后期漏水的可能性；阻燃等级不低于UL94-V0；机械寿命不低于20000次；电气寿命不低于10000次</w:t>
      </w:r>
      <w:r>
        <w:rPr>
          <w:rFonts w:hint="eastAsia" w:ascii="宋体" w:hAnsi="宋体" w:eastAsia="宋体" w:cs="宋体"/>
          <w:b w:val="0"/>
          <w:bCs/>
          <w:color w:val="auto"/>
          <w:sz w:val="24"/>
          <w:szCs w:val="24"/>
          <w:lang w:val="en-US" w:eastAsia="zh-CN"/>
        </w:rPr>
        <w:t>。</w:t>
      </w:r>
    </w:p>
    <w:p w14:paraId="60713242">
      <w:pPr>
        <w:pStyle w:val="190"/>
        <w:keepLines w:val="0"/>
        <w:pageBreakBefore w:val="0"/>
        <w:kinsoku/>
        <w:wordWrap/>
        <w:overflowPunct/>
        <w:topLinePunct w:val="0"/>
        <w:autoSpaceDE/>
        <w:autoSpaceDN/>
        <w:bidi w:val="0"/>
        <w:spacing w:beforeAutospacing="0" w:line="360" w:lineRule="auto"/>
        <w:ind w:firstLine="420"/>
        <w:textAlignment w:val="auto"/>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eastAsia="zh-CN"/>
        </w:rPr>
        <w:t>电磁式漏电保护开关须满足广东省地标《道路照明工程技术规范》（</w:t>
      </w:r>
      <w:r>
        <w:rPr>
          <w:rFonts w:hint="eastAsia" w:ascii="宋体" w:hAnsi="宋体" w:eastAsia="宋体" w:cs="宋体"/>
          <w:b w:val="0"/>
          <w:bCs/>
          <w:color w:val="auto"/>
          <w:sz w:val="24"/>
          <w:szCs w:val="24"/>
          <w:lang w:val="en-US" w:eastAsia="zh-CN"/>
        </w:rPr>
        <w:t>DBJ/T 15-242-2022</w:t>
      </w:r>
      <w:r>
        <w:rPr>
          <w:rFonts w:hint="eastAsia" w:ascii="宋体" w:hAnsi="宋体" w:eastAsia="宋体" w:cs="宋体"/>
          <w:b w:val="0"/>
          <w:bCs/>
          <w:color w:val="auto"/>
          <w:sz w:val="24"/>
          <w:szCs w:val="24"/>
          <w:lang w:eastAsia="zh-CN"/>
        </w:rPr>
        <w:t>）要求。</w:t>
      </w:r>
    </w:p>
    <w:p w14:paraId="1F00DC91">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5</w:t>
      </w:r>
      <w:r>
        <w:rPr>
          <w:rFonts w:hint="eastAsia" w:ascii="新宋体" w:hAnsi="新宋体" w:eastAsia="新宋体" w:cs="新宋体"/>
          <w:color w:val="auto"/>
          <w:sz w:val="24"/>
          <w:szCs w:val="24"/>
        </w:rPr>
        <w:t xml:space="preserve">) </w:t>
      </w:r>
      <w:r>
        <w:rPr>
          <w:rFonts w:hint="eastAsia" w:ascii="新宋体" w:hAnsi="新宋体" w:eastAsia="新宋体" w:cs="新宋体"/>
          <w:color w:val="auto"/>
          <w:sz w:val="24"/>
          <w:szCs w:val="24"/>
          <w:lang w:eastAsia="zh-CN"/>
        </w:rPr>
        <w:t>道路照明配电系统的接地形式采用T</w:t>
      </w:r>
      <w:r>
        <w:rPr>
          <w:rFonts w:hint="eastAsia" w:ascii="新宋体" w:hAnsi="新宋体" w:eastAsia="新宋体" w:cs="新宋体"/>
          <w:color w:val="auto"/>
          <w:sz w:val="24"/>
          <w:szCs w:val="24"/>
          <w:lang w:val="en-US" w:eastAsia="zh-CN"/>
        </w:rPr>
        <w:t>N-S</w:t>
      </w:r>
      <w:r>
        <w:rPr>
          <w:rFonts w:hint="eastAsia" w:ascii="新宋体" w:hAnsi="新宋体" w:eastAsia="新宋体" w:cs="新宋体"/>
          <w:color w:val="auto"/>
          <w:sz w:val="24"/>
          <w:szCs w:val="24"/>
          <w:lang w:eastAsia="zh-CN"/>
        </w:rPr>
        <w:t>系统，其接地电阻要求不大于4欧姆，金属灯杆及构件、灯具外壳、配电及控制箱的外露可导电部分，应进行保护接地，并应符合国家现行相关标准的要求</w:t>
      </w:r>
      <w:r>
        <w:rPr>
          <w:rFonts w:hint="eastAsia" w:ascii="新宋体" w:hAnsi="新宋体" w:eastAsia="新宋体" w:cs="新宋体"/>
          <w:color w:val="auto"/>
          <w:sz w:val="24"/>
          <w:szCs w:val="24"/>
        </w:rPr>
        <w:t>。</w:t>
      </w:r>
    </w:p>
    <w:p w14:paraId="1538424D">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lang w:val="en-US" w:eastAsia="zh-CN"/>
        </w:rPr>
        <w:t>6</w:t>
      </w:r>
      <w:r>
        <w:rPr>
          <w:rFonts w:hint="eastAsia" w:ascii="新宋体" w:hAnsi="新宋体" w:eastAsia="新宋体" w:cs="新宋体"/>
          <w:color w:val="auto"/>
          <w:sz w:val="24"/>
          <w:szCs w:val="24"/>
        </w:rPr>
        <w:t>) 照明配电线路的供电必须保证灯具端电压维持在额定电压的90％－105％；配电电压380/220V。照明线路的功率因数不应小于0.9。</w:t>
      </w:r>
    </w:p>
    <w:p w14:paraId="5672754C">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7</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eastAsia="zh-CN"/>
        </w:rPr>
        <w:t>灯杆检修门安装在车行道外侧；检修门底部距离灯杆安装位置市政完成面的高度不低于50cm；检修门需设置使用专门工具开启的闭锁防盗装置。路灯井盖采用球墨铸铁装饰井盖</w:t>
      </w:r>
      <w:r>
        <w:rPr>
          <w:rFonts w:hint="eastAsia" w:ascii="新宋体" w:hAnsi="新宋体" w:eastAsia="新宋体" w:cs="新宋体"/>
          <w:color w:val="auto"/>
          <w:sz w:val="24"/>
          <w:szCs w:val="24"/>
        </w:rPr>
        <w:t>。</w:t>
      </w:r>
    </w:p>
    <w:p w14:paraId="108CE437">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2．照明控制</w:t>
      </w:r>
    </w:p>
    <w:p w14:paraId="380A4663">
      <w:pPr>
        <w:pStyle w:val="86"/>
        <w:adjustRightInd w:val="0"/>
        <w:snapToGrid w:val="0"/>
        <w:spacing w:after="0" w:line="360" w:lineRule="auto"/>
        <w:ind w:firstLine="480" w:firstLineChars="200"/>
        <w:rPr>
          <w:rFonts w:hint="default" w:ascii="新宋体" w:hAnsi="新宋体" w:eastAsia="新宋体" w:cs="新宋体"/>
          <w:color w:val="auto"/>
          <w:sz w:val="24"/>
          <w:szCs w:val="24"/>
          <w:lang w:val="en-US" w:eastAsia="zh-CN"/>
        </w:rPr>
      </w:pPr>
      <w:r>
        <w:rPr>
          <w:rFonts w:hint="eastAsia" w:ascii="宋体" w:hAnsi="宋体" w:cs="宋体"/>
          <w:color w:val="auto"/>
          <w:sz w:val="24"/>
          <w:highlight w:val="none"/>
        </w:rPr>
        <w:t>本工程</w:t>
      </w:r>
      <w:r>
        <w:rPr>
          <w:rFonts w:hint="eastAsia" w:ascii="宋体" w:hAnsi="宋体" w:cs="宋体"/>
          <w:color w:val="auto"/>
          <w:sz w:val="24"/>
          <w:highlight w:val="none"/>
          <w:lang w:val="en-US" w:eastAsia="zh-CN"/>
        </w:rPr>
        <w:t>道路照明自附近道路现状照明回路驳接</w:t>
      </w:r>
      <w:r>
        <w:rPr>
          <w:rFonts w:hint="eastAsia" w:ascii="宋体" w:hAnsi="宋体"/>
          <w:color w:val="auto"/>
          <w:sz w:val="24"/>
          <w:lang w:eastAsia="zh-CN"/>
        </w:rPr>
        <w:t>。</w:t>
      </w:r>
      <w:r>
        <w:rPr>
          <w:rFonts w:hint="eastAsia" w:ascii="宋体" w:hAnsi="宋体"/>
          <w:color w:val="auto"/>
          <w:sz w:val="24"/>
          <w:lang w:val="en-US" w:eastAsia="zh-CN"/>
        </w:rPr>
        <w:t>路灯</w:t>
      </w:r>
      <w:r>
        <w:rPr>
          <w:rFonts w:hint="eastAsia" w:ascii="新宋体" w:hAnsi="新宋体" w:eastAsia="新宋体" w:cs="新宋体"/>
          <w:color w:val="auto"/>
          <w:sz w:val="24"/>
          <w:szCs w:val="24"/>
        </w:rPr>
        <w:t>照明控制</w:t>
      </w:r>
      <w:r>
        <w:rPr>
          <w:rFonts w:hint="eastAsia" w:ascii="新宋体" w:hAnsi="新宋体" w:eastAsia="新宋体" w:cs="新宋体"/>
          <w:color w:val="auto"/>
          <w:sz w:val="24"/>
          <w:szCs w:val="24"/>
          <w:lang w:val="en-US" w:eastAsia="zh-CN"/>
        </w:rPr>
        <w:t>方式与</w:t>
      </w:r>
      <w:r>
        <w:rPr>
          <w:rFonts w:hint="eastAsia" w:ascii="宋体" w:hAnsi="宋体" w:cs="宋体"/>
          <w:color w:val="auto"/>
          <w:sz w:val="24"/>
          <w:highlight w:val="none"/>
          <w:lang w:val="en-US" w:eastAsia="zh-CN"/>
        </w:rPr>
        <w:t>附近道路现状照明回路一致。</w:t>
      </w:r>
    </w:p>
    <w:p w14:paraId="1A1E482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3．节能标准和措施</w:t>
      </w:r>
    </w:p>
    <w:p w14:paraId="27008806">
      <w:pPr>
        <w:spacing w:line="360" w:lineRule="auto"/>
        <w:ind w:firstLine="480" w:firstLineChars="200"/>
        <w:rPr>
          <w:rFonts w:ascii="宋体" w:hAnsi="宋体"/>
          <w:color w:val="auto"/>
          <w:sz w:val="24"/>
        </w:rPr>
      </w:pPr>
      <w:r>
        <w:rPr>
          <w:rFonts w:hint="eastAsia" w:ascii="新宋体" w:hAnsi="新宋体" w:eastAsia="新宋体" w:cs="新宋体"/>
          <w:color w:val="auto"/>
          <w:sz w:val="24"/>
          <w:szCs w:val="24"/>
          <w:lang w:eastAsia="zh-CN"/>
        </w:rPr>
        <w:t>1）</w:t>
      </w:r>
      <w:r>
        <w:rPr>
          <w:rFonts w:hint="eastAsia" w:ascii="宋体" w:hAnsi="宋体"/>
          <w:color w:val="auto"/>
          <w:sz w:val="24"/>
        </w:rPr>
        <w:t>道路灯采用</w:t>
      </w:r>
      <w:r>
        <w:rPr>
          <w:rFonts w:ascii="宋体" w:hAnsi="宋体"/>
          <w:color w:val="auto"/>
          <w:sz w:val="24"/>
        </w:rPr>
        <w:t>LED</w:t>
      </w:r>
      <w:r>
        <w:rPr>
          <w:rFonts w:hint="eastAsia" w:ascii="宋体" w:hAnsi="宋体"/>
          <w:color w:val="auto"/>
          <w:sz w:val="24"/>
        </w:rPr>
        <w:t>路灯。</w:t>
      </w:r>
    </w:p>
    <w:p w14:paraId="699130B8">
      <w:pPr>
        <w:spacing w:line="360" w:lineRule="auto"/>
        <w:ind w:firstLine="480" w:firstLineChars="200"/>
        <w:rPr>
          <w:rFonts w:ascii="宋体" w:hAnsi="宋体"/>
          <w:color w:val="auto"/>
          <w:sz w:val="24"/>
        </w:rPr>
      </w:pPr>
      <w:r>
        <w:rPr>
          <w:rFonts w:hint="eastAsia" w:ascii="新宋体" w:hAnsi="新宋体" w:eastAsia="新宋体" w:cs="新宋体"/>
          <w:color w:val="auto"/>
          <w:sz w:val="24"/>
          <w:szCs w:val="24"/>
          <w:lang w:val="en-US" w:eastAsia="zh-CN"/>
        </w:rPr>
        <w:t>2</w:t>
      </w:r>
      <w:r>
        <w:rPr>
          <w:rFonts w:hint="eastAsia" w:ascii="新宋体" w:hAnsi="新宋体" w:eastAsia="新宋体" w:cs="新宋体"/>
          <w:color w:val="auto"/>
          <w:sz w:val="24"/>
          <w:szCs w:val="24"/>
          <w:lang w:eastAsia="zh-CN"/>
        </w:rPr>
        <w:t>）</w:t>
      </w:r>
      <w:r>
        <w:rPr>
          <w:rFonts w:ascii="宋体" w:hAnsi="宋体"/>
          <w:color w:val="auto"/>
          <w:sz w:val="24"/>
        </w:rPr>
        <w:t>LED</w:t>
      </w:r>
      <w:r>
        <w:rPr>
          <w:rFonts w:hint="eastAsia" w:ascii="宋体" w:hAnsi="宋体"/>
          <w:color w:val="auto"/>
          <w:sz w:val="24"/>
        </w:rPr>
        <w:t>光源及</w:t>
      </w:r>
      <w:r>
        <w:rPr>
          <w:rFonts w:ascii="宋体" w:hAnsi="宋体"/>
          <w:color w:val="auto"/>
          <w:sz w:val="24"/>
        </w:rPr>
        <w:t>AC220V/DC24V</w:t>
      </w:r>
      <w:r>
        <w:rPr>
          <w:rFonts w:hint="eastAsia" w:ascii="宋体" w:hAnsi="宋体"/>
          <w:color w:val="auto"/>
          <w:sz w:val="24"/>
        </w:rPr>
        <w:t>直流电源驱动模块的性能指标应符合规范要求，</w:t>
      </w:r>
      <w:r>
        <w:rPr>
          <w:rFonts w:ascii="宋体" w:hAnsi="宋体"/>
          <w:color w:val="auto"/>
          <w:sz w:val="24"/>
        </w:rPr>
        <w:t>LED</w:t>
      </w:r>
      <w:r>
        <w:rPr>
          <w:rFonts w:hint="eastAsia" w:ascii="宋体" w:hAnsi="宋体"/>
          <w:color w:val="auto"/>
          <w:sz w:val="24"/>
        </w:rPr>
        <w:t>路灯采用内置式</w:t>
      </w:r>
      <w:r>
        <w:rPr>
          <w:rFonts w:ascii="宋体" w:hAnsi="宋体"/>
          <w:color w:val="auto"/>
          <w:sz w:val="24"/>
        </w:rPr>
        <w:t>AC220V/DC24V</w:t>
      </w:r>
      <w:r>
        <w:rPr>
          <w:rFonts w:hint="eastAsia" w:ascii="宋体" w:hAnsi="宋体"/>
          <w:color w:val="auto"/>
          <w:sz w:val="24"/>
        </w:rPr>
        <w:t>直流电源驱动模块，灯具功率因数达到</w:t>
      </w:r>
      <w:r>
        <w:rPr>
          <w:rFonts w:ascii="宋体" w:hAnsi="宋体"/>
          <w:color w:val="auto"/>
          <w:sz w:val="24"/>
        </w:rPr>
        <w:t>0.92</w:t>
      </w:r>
      <w:r>
        <w:rPr>
          <w:rFonts w:hint="eastAsia" w:ascii="宋体" w:hAnsi="宋体"/>
          <w:color w:val="auto"/>
          <w:sz w:val="24"/>
        </w:rPr>
        <w:t>以上。</w:t>
      </w:r>
    </w:p>
    <w:p w14:paraId="2F93991A">
      <w:pPr>
        <w:spacing w:line="360" w:lineRule="auto"/>
        <w:ind w:firstLine="480" w:firstLineChars="200"/>
        <w:rPr>
          <w:rFonts w:hint="eastAsia" w:ascii="宋体" w:hAnsi="宋体"/>
          <w:color w:val="auto"/>
          <w:sz w:val="24"/>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lang w:eastAsia="zh-CN"/>
        </w:rPr>
        <w:t>）</w:t>
      </w:r>
      <w:r>
        <w:rPr>
          <w:rFonts w:hint="eastAsia" w:ascii="宋体" w:hAnsi="宋体"/>
          <w:color w:val="auto"/>
          <w:sz w:val="24"/>
        </w:rPr>
        <w:t>机动车交通道路照明的照明功率密度（</w:t>
      </w:r>
      <w:r>
        <w:rPr>
          <w:rFonts w:ascii="宋体" w:hAnsi="宋体"/>
          <w:color w:val="auto"/>
          <w:sz w:val="24"/>
        </w:rPr>
        <w:t>LPD</w:t>
      </w:r>
      <w:r>
        <w:rPr>
          <w:rFonts w:hint="eastAsia" w:ascii="宋体" w:hAnsi="宋体"/>
          <w:color w:val="auto"/>
          <w:sz w:val="24"/>
        </w:rPr>
        <w:t>）照明节能的评价指标。</w:t>
      </w:r>
    </w:p>
    <w:p w14:paraId="6D8B4636">
      <w:pPr>
        <w:spacing w:line="360" w:lineRule="auto"/>
        <w:jc w:val="center"/>
        <w:rPr>
          <w:b/>
          <w:bCs/>
          <w:color w:val="auto"/>
          <w:sz w:val="24"/>
        </w:rPr>
      </w:pPr>
      <w:r>
        <w:rPr>
          <w:rFonts w:hint="eastAsia"/>
          <w:b/>
          <w:bCs/>
          <w:color w:val="auto"/>
          <w:sz w:val="24"/>
        </w:rPr>
        <w:t>机动车交通道路的照明功率密度值：</w:t>
      </w:r>
    </w:p>
    <w:tbl>
      <w:tblPr>
        <w:tblStyle w:val="88"/>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4"/>
        <w:gridCol w:w="948"/>
        <w:gridCol w:w="1705"/>
        <w:gridCol w:w="2410"/>
        <w:gridCol w:w="952"/>
        <w:gridCol w:w="2284"/>
      </w:tblGrid>
      <w:tr w14:paraId="6C019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054" w:type="dxa"/>
            <w:noWrap w:val="0"/>
            <w:vAlign w:val="center"/>
          </w:tcPr>
          <w:p w14:paraId="334F3363">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道路级别</w:t>
            </w:r>
          </w:p>
        </w:tc>
        <w:tc>
          <w:tcPr>
            <w:tcW w:w="948" w:type="dxa"/>
            <w:noWrap w:val="0"/>
            <w:vAlign w:val="center"/>
          </w:tcPr>
          <w:p w14:paraId="2040F30C">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车道数（条）</w:t>
            </w:r>
          </w:p>
        </w:tc>
        <w:tc>
          <w:tcPr>
            <w:tcW w:w="1705" w:type="dxa"/>
            <w:noWrap w:val="0"/>
            <w:vAlign w:val="center"/>
          </w:tcPr>
          <w:p w14:paraId="59A6D1D5">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规范照明功率密度值（LPD）(W/m2)</w:t>
            </w:r>
          </w:p>
        </w:tc>
        <w:tc>
          <w:tcPr>
            <w:tcW w:w="2410" w:type="dxa"/>
            <w:noWrap w:val="0"/>
            <w:vAlign w:val="center"/>
          </w:tcPr>
          <w:p w14:paraId="41C60F03">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设计照明功率密度值（LPD）(W/m2)</w:t>
            </w:r>
          </w:p>
        </w:tc>
        <w:tc>
          <w:tcPr>
            <w:tcW w:w="952" w:type="dxa"/>
            <w:noWrap w:val="0"/>
            <w:vAlign w:val="center"/>
          </w:tcPr>
          <w:p w14:paraId="074B49A4">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对应的照度值(Lx)</w:t>
            </w:r>
          </w:p>
        </w:tc>
        <w:tc>
          <w:tcPr>
            <w:tcW w:w="2284" w:type="dxa"/>
            <w:noWrap w:val="0"/>
            <w:vAlign w:val="center"/>
          </w:tcPr>
          <w:p w14:paraId="0ACFCA61">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设计对应的照度值(Lx)</w:t>
            </w:r>
          </w:p>
        </w:tc>
      </w:tr>
      <w:tr w14:paraId="477E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54" w:type="dxa"/>
            <w:noWrap w:val="0"/>
            <w:vAlign w:val="center"/>
          </w:tcPr>
          <w:p w14:paraId="7BBEF4DF">
            <w:pPr>
              <w:adjustRightInd w:val="0"/>
              <w:spacing w:line="360" w:lineRule="auto"/>
              <w:ind w:left="0" w:leftChars="0" w:right="-43" w:rightChars="-18" w:firstLine="0" w:firstLineChars="0"/>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支路</w:t>
            </w:r>
          </w:p>
        </w:tc>
        <w:tc>
          <w:tcPr>
            <w:tcW w:w="948" w:type="dxa"/>
            <w:noWrap w:val="0"/>
            <w:vAlign w:val="center"/>
          </w:tcPr>
          <w:p w14:paraId="2A666C20">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≥2</w:t>
            </w:r>
          </w:p>
        </w:tc>
        <w:tc>
          <w:tcPr>
            <w:tcW w:w="1705" w:type="dxa"/>
            <w:noWrap w:val="0"/>
            <w:vAlign w:val="center"/>
          </w:tcPr>
          <w:p w14:paraId="07EAF760">
            <w:pPr>
              <w:adjustRightInd w:val="0"/>
              <w:spacing w:line="360" w:lineRule="auto"/>
              <w:ind w:left="0" w:leftChars="0" w:right="-43" w:rightChars="-18" w:firstLine="0" w:firstLineChars="0"/>
              <w:jc w:val="cente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≤0.50</w:t>
            </w:r>
          </w:p>
        </w:tc>
        <w:tc>
          <w:tcPr>
            <w:tcW w:w="2410" w:type="dxa"/>
            <w:noWrap w:val="0"/>
            <w:vAlign w:val="center"/>
          </w:tcPr>
          <w:p w14:paraId="4BD6213F">
            <w:pPr>
              <w:adjustRightInd w:val="0"/>
              <w:spacing w:line="360" w:lineRule="auto"/>
              <w:ind w:left="0" w:leftChars="0" w:right="-43" w:rightChars="-18" w:firstLine="0" w:firstLineChars="0"/>
              <w:jc w:val="center"/>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0.38</w:t>
            </w:r>
          </w:p>
        </w:tc>
        <w:tc>
          <w:tcPr>
            <w:tcW w:w="952" w:type="dxa"/>
            <w:noWrap w:val="0"/>
            <w:vAlign w:val="center"/>
          </w:tcPr>
          <w:p w14:paraId="700ED37B">
            <w:pPr>
              <w:adjustRightInd w:val="0"/>
              <w:spacing w:line="360" w:lineRule="auto"/>
              <w:ind w:left="0" w:leftChars="0" w:right="-43" w:rightChars="-18"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≥10</w:t>
            </w:r>
          </w:p>
        </w:tc>
        <w:tc>
          <w:tcPr>
            <w:tcW w:w="2284" w:type="dxa"/>
            <w:noWrap w:val="0"/>
            <w:vAlign w:val="center"/>
          </w:tcPr>
          <w:p w14:paraId="1C85F05E">
            <w:pPr>
              <w:adjustRightInd w:val="0"/>
              <w:spacing w:line="360" w:lineRule="auto"/>
              <w:ind w:left="0" w:leftChars="0" w:right="-43" w:rightChars="-18" w:firstLine="0" w:firstLineChars="0"/>
              <w:jc w:val="center"/>
              <w:rPr>
                <w:rFonts w:hint="default" w:ascii="宋体" w:hAnsi="宋体" w:eastAsia="宋体" w:cs="宋体"/>
                <w:color w:val="auto"/>
                <w:sz w:val="24"/>
                <w:szCs w:val="24"/>
                <w:lang w:val="en-US"/>
              </w:rPr>
            </w:pPr>
            <w:r>
              <w:rPr>
                <w:rFonts w:hint="eastAsia" w:ascii="宋体" w:hAnsi="宋体" w:cs="宋体"/>
                <w:color w:val="auto"/>
                <w:sz w:val="24"/>
                <w:szCs w:val="24"/>
                <w:lang w:val="en-US" w:eastAsia="zh-CN"/>
              </w:rPr>
              <w:t>18.5</w:t>
            </w:r>
          </w:p>
        </w:tc>
      </w:tr>
    </w:tbl>
    <w:p w14:paraId="3C573785">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11.6</w:t>
      </w:r>
      <w:r>
        <w:rPr>
          <w:rFonts w:hint="eastAsia" w:ascii="新宋体" w:hAnsi="新宋体" w:eastAsia="新宋体" w:cs="新宋体"/>
          <w:b/>
          <w:bCs/>
          <w:color w:val="auto"/>
          <w:sz w:val="24"/>
          <w:szCs w:val="24"/>
        </w:rPr>
        <w:t>、线路敷设</w:t>
      </w:r>
    </w:p>
    <w:p w14:paraId="484A6531">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w:t>
      </w:r>
      <w:r>
        <w:rPr>
          <w:rFonts w:hint="eastAsia" w:ascii="新宋体" w:hAnsi="新宋体" w:eastAsia="新宋体" w:cs="新宋体"/>
          <w:color w:val="auto"/>
          <w:sz w:val="24"/>
          <w:szCs w:val="24"/>
          <w:lang w:val="en-US" w:eastAsia="zh-CN"/>
        </w:rPr>
        <w:t xml:space="preserve"> </w:t>
      </w:r>
      <w:r>
        <w:rPr>
          <w:rFonts w:hint="eastAsia" w:ascii="新宋体" w:hAnsi="新宋体" w:eastAsia="新宋体" w:cs="新宋体"/>
          <w:color w:val="auto"/>
          <w:sz w:val="24"/>
          <w:szCs w:val="24"/>
        </w:rPr>
        <w:t>所有回路采用三相供电，灯具接线按L1、L2、L3相别顺序接线，力求三相平衡。</w:t>
      </w:r>
    </w:p>
    <w:p w14:paraId="5F33844E">
      <w:pPr>
        <w:pStyle w:val="86"/>
        <w:adjustRightInd w:val="0"/>
        <w:snapToGrid w:val="0"/>
        <w:spacing w:after="0" w:line="360" w:lineRule="auto"/>
        <w:ind w:firstLine="480" w:firstLineChars="200"/>
        <w:rPr>
          <w:rFonts w:hint="eastAsia" w:ascii="新宋体" w:hAnsi="新宋体" w:cs="新宋体" w:eastAsiaTheme="minorEastAsia"/>
          <w:color w:val="auto"/>
          <w:sz w:val="24"/>
          <w:szCs w:val="24"/>
          <w:lang w:eastAsia="zh-CN"/>
        </w:rPr>
      </w:pPr>
      <w:r>
        <w:rPr>
          <w:rFonts w:hint="eastAsia" w:ascii="新宋体" w:hAnsi="新宋体" w:eastAsia="新宋体" w:cs="新宋体"/>
          <w:color w:val="auto"/>
          <w:sz w:val="24"/>
          <w:szCs w:val="24"/>
        </w:rPr>
        <w:t>2.</w:t>
      </w:r>
      <w:r>
        <w:rPr>
          <w:rFonts w:hint="eastAsia" w:ascii="新宋体" w:hAnsi="新宋体" w:eastAsia="新宋体" w:cs="新宋体"/>
          <w:color w:val="auto"/>
          <w:sz w:val="24"/>
          <w:szCs w:val="24"/>
          <w:lang w:val="en-US" w:eastAsia="zh-CN"/>
        </w:rPr>
        <w:t xml:space="preserve"> 地面道路路灯干线采用五芯</w:t>
      </w:r>
      <w:r>
        <w:rPr>
          <w:rFonts w:hint="eastAsia" w:ascii="新宋体" w:hAnsi="新宋体" w:eastAsia="新宋体" w:cs="新宋体"/>
          <w:color w:val="auto"/>
          <w:sz w:val="24"/>
          <w:szCs w:val="22"/>
          <w:lang w:val="en-US" w:eastAsia="zh-CN"/>
        </w:rPr>
        <w:t>VV</w:t>
      </w:r>
      <w:r>
        <w:rPr>
          <w:rFonts w:hint="eastAsia" w:ascii="新宋体" w:hAnsi="新宋体" w:eastAsia="新宋体" w:cs="新宋体"/>
          <w:color w:val="auto"/>
          <w:sz w:val="24"/>
          <w:szCs w:val="22"/>
        </w:rPr>
        <w:t>-0.6/1kV</w:t>
      </w:r>
      <w:r>
        <w:rPr>
          <w:rFonts w:hint="eastAsia" w:ascii="新宋体" w:hAnsi="新宋体" w:eastAsia="新宋体" w:cs="新宋体"/>
          <w:color w:val="auto"/>
          <w:sz w:val="24"/>
          <w:szCs w:val="24"/>
          <w:lang w:val="en-US" w:eastAsia="zh-CN"/>
        </w:rPr>
        <w:t>电缆穿HDPEφ75管埋设于侧绿化带下。埋设位置详见照明标准横断面图，埋深H＝0.7米(路面与电缆顶端距离)。管道穿越车行道时穿</w:t>
      </w:r>
      <w:r>
        <w:rPr>
          <w:rFonts w:hint="eastAsia" w:ascii="宋体" w:hAnsi="宋体" w:cs="宋体"/>
          <w:color w:val="auto"/>
          <w:sz w:val="24"/>
          <w:szCs w:val="24"/>
          <w:highlight w:val="none"/>
        </w:rPr>
        <w:t>镀锌钢管∅100</w:t>
      </w:r>
      <w:r>
        <w:rPr>
          <w:rFonts w:hint="eastAsia" w:ascii="新宋体" w:hAnsi="新宋体" w:eastAsia="新宋体" w:cs="新宋体"/>
          <w:color w:val="auto"/>
          <w:sz w:val="24"/>
          <w:szCs w:val="24"/>
          <w:lang w:val="en-US" w:eastAsia="zh-CN"/>
        </w:rPr>
        <w:t>，埋深H＝0.7米(路面与管顶距离)，并在两端设路灯过路工作井。照明供电分支回路线缆线径应与主回路线径相同，线路分支处应采用同材质线材直接缠绕连接，包扎端需满足防漏电、防水等技术要求。</w:t>
      </w:r>
      <w:r>
        <w:rPr>
          <w:rFonts w:hint="eastAsia" w:ascii="新宋体" w:hAnsi="新宋体" w:eastAsia="新宋体" w:cs="新宋体"/>
          <w:color w:val="auto"/>
          <w:sz w:val="24"/>
          <w:szCs w:val="24"/>
        </w:rPr>
        <w:t>灯杆内不分支的干线主电缆不允许有接头，且所有预留长度需到灯杆检修电气门上部，电缆接头设置在电器门中上部</w:t>
      </w:r>
      <w:r>
        <w:rPr>
          <w:rFonts w:hint="eastAsia" w:ascii="新宋体" w:hAnsi="新宋体" w:eastAsia="新宋体" w:cs="新宋体"/>
          <w:color w:val="auto"/>
          <w:sz w:val="24"/>
          <w:szCs w:val="24"/>
          <w:lang w:eastAsia="zh-CN"/>
        </w:rPr>
        <w:t>。</w:t>
      </w:r>
      <w:r>
        <w:rPr>
          <w:rFonts w:hint="eastAsia" w:ascii="宋体" w:hAnsi="宋体" w:cs="宋体"/>
          <w:color w:val="auto"/>
          <w:sz w:val="24"/>
          <w:szCs w:val="24"/>
          <w:highlight w:val="none"/>
        </w:rPr>
        <w:t>电缆在保护管中不得有接头</w:t>
      </w:r>
      <w:r>
        <w:rPr>
          <w:rFonts w:hint="eastAsia" w:ascii="宋体" w:hAnsi="宋体" w:cs="宋体"/>
          <w:color w:val="auto"/>
          <w:sz w:val="24"/>
          <w:szCs w:val="24"/>
          <w:highlight w:val="none"/>
          <w:lang w:eastAsia="zh-CN"/>
        </w:rPr>
        <w:t>。</w:t>
      </w:r>
    </w:p>
    <w:p w14:paraId="327855A9">
      <w:pPr>
        <w:pStyle w:val="86"/>
        <w:adjustRightInd w:val="0"/>
        <w:snapToGrid w:val="0"/>
        <w:spacing w:after="0" w:line="360" w:lineRule="auto"/>
        <w:ind w:firstLine="480" w:firstLineChars="200"/>
        <w:rPr>
          <w:rFonts w:hint="eastAsia" w:ascii="新宋体" w:hAnsi="新宋体" w:eastAsia="新宋体" w:cs="新宋体"/>
          <w:color w:val="auto"/>
          <w:sz w:val="24"/>
          <w:szCs w:val="24"/>
          <w:lang w:eastAsia="zh-CN"/>
        </w:rPr>
      </w:pPr>
      <w:r>
        <w:rPr>
          <w:rFonts w:hint="eastAsia" w:ascii="新宋体" w:hAnsi="新宋体" w:eastAsia="新宋体" w:cs="新宋体"/>
          <w:color w:val="auto"/>
          <w:sz w:val="24"/>
          <w:szCs w:val="24"/>
        </w:rPr>
        <w:t>3.</w:t>
      </w:r>
      <w:r>
        <w:rPr>
          <w:rFonts w:hint="eastAsia" w:ascii="新宋体" w:hAnsi="新宋体" w:eastAsia="新宋体" w:cs="新宋体"/>
          <w:color w:val="auto"/>
          <w:sz w:val="24"/>
          <w:szCs w:val="24"/>
          <w:lang w:val="en-US" w:eastAsia="zh-CN"/>
        </w:rPr>
        <w:t xml:space="preserve"> </w:t>
      </w:r>
      <w:r>
        <w:rPr>
          <w:rFonts w:hint="eastAsia" w:ascii="新宋体" w:hAnsi="新宋体" w:eastAsia="新宋体" w:cs="新宋体"/>
          <w:color w:val="auto"/>
          <w:sz w:val="24"/>
          <w:szCs w:val="24"/>
        </w:rPr>
        <w:t>接向灯具的接灯线采用ZR-RVV-300/500V 3x2.5mm²三芯聚氯乙稀护套软电线。凡照明供电干线与接灯线相接处采用铜套管压接，橡胶胶布、防水胶布、热缩管保护处理。</w:t>
      </w:r>
    </w:p>
    <w:p w14:paraId="1E65B2EA">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4</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 xml:space="preserve"> 灯具安装时，供电线路须接入灯具内火、零、地线接线端子或专用电气接线盒（接线盒须有良好的绝缘、耐压保护作用，防护等级IP65以上），以确保供电线路在灯杆、灯臂内无接头。</w:t>
      </w:r>
    </w:p>
    <w:p w14:paraId="3BD6604D">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5. 灯具附属的电源、防雷器灯装置须设置在灯具防护壳（腔）内，禁止将任何灯具附属装置设置在灯具外部。</w:t>
      </w:r>
    </w:p>
    <w:p w14:paraId="541EFA74">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6. 每盏灯的相线应装设熔断器，熔断器应固定牢靠，熔断器及其他电器电源进线应上进下出或左进右出，熔丝符合有关标准规范的规定。</w:t>
      </w:r>
    </w:p>
    <w:p w14:paraId="256D36EE">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11.7</w:t>
      </w:r>
      <w:r>
        <w:rPr>
          <w:rFonts w:hint="eastAsia" w:ascii="新宋体" w:hAnsi="新宋体" w:eastAsia="新宋体" w:cs="新宋体"/>
          <w:b/>
          <w:bCs/>
          <w:color w:val="auto"/>
          <w:sz w:val="24"/>
          <w:szCs w:val="24"/>
        </w:rPr>
        <w:t>、接地</w:t>
      </w:r>
    </w:p>
    <w:p w14:paraId="077365E4">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1.本工程路灯配电系统的接地形式为</w:t>
      </w:r>
      <w:r>
        <w:rPr>
          <w:rFonts w:hint="eastAsia" w:ascii="新宋体" w:hAnsi="新宋体" w:eastAsia="新宋体" w:cs="新宋体"/>
          <w:color w:val="auto"/>
          <w:sz w:val="24"/>
          <w:szCs w:val="24"/>
          <w:lang w:val="en-US" w:eastAsia="zh-CN"/>
        </w:rPr>
        <w:t>TN-S</w:t>
      </w:r>
      <w:r>
        <w:rPr>
          <w:rFonts w:hint="eastAsia" w:ascii="新宋体" w:hAnsi="新宋体" w:eastAsia="新宋体" w:cs="新宋体"/>
          <w:color w:val="auto"/>
          <w:sz w:val="24"/>
          <w:szCs w:val="24"/>
        </w:rPr>
        <w:t>系统</w:t>
      </w:r>
      <w:r>
        <w:rPr>
          <w:rFonts w:hint="eastAsia" w:ascii="新宋体" w:hAnsi="新宋体" w:eastAsia="新宋体" w:cs="新宋体"/>
          <w:color w:val="auto"/>
          <w:sz w:val="24"/>
          <w:szCs w:val="24"/>
          <w:lang w:val="en-US" w:eastAsia="zh-CN"/>
        </w:rPr>
        <w:t>,与附近现状照明回路一致</w:t>
      </w:r>
      <w:r>
        <w:rPr>
          <w:rFonts w:hint="eastAsia" w:ascii="新宋体" w:hAnsi="新宋体" w:eastAsia="新宋体" w:cs="新宋体"/>
          <w:color w:val="auto"/>
          <w:sz w:val="24"/>
          <w:szCs w:val="24"/>
        </w:rPr>
        <w:t>。</w:t>
      </w:r>
    </w:p>
    <w:p w14:paraId="3DC928B1">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2.接地装置利用灯杆杆座砼基础内的主配钢筋、地脚螺栓等自然接地体，杆座砼基础内的主配钢筋、地脚螺栓应采用焊接方式进行有效等电位连接，再用镀锌扁钢与灯杆的接地端子相连。</w:t>
      </w:r>
    </w:p>
    <w:p w14:paraId="7B081CD6">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3.每座灯杆基础主配钢筋间用φ12</w:t>
      </w:r>
      <w:r>
        <w:rPr>
          <w:rFonts w:hint="eastAsia" w:ascii="新宋体" w:hAnsi="新宋体" w:eastAsia="新宋体" w:cs="新宋体"/>
          <w:color w:val="auto"/>
          <w:sz w:val="24"/>
          <w:szCs w:val="24"/>
          <w:lang w:val="en-US" w:eastAsia="zh-CN"/>
        </w:rPr>
        <w:t>不锈钢</w:t>
      </w:r>
      <w:r>
        <w:rPr>
          <w:rFonts w:hint="eastAsia" w:ascii="新宋体" w:hAnsi="新宋体" w:eastAsia="新宋体" w:cs="新宋体"/>
          <w:color w:val="auto"/>
          <w:sz w:val="24"/>
          <w:szCs w:val="24"/>
        </w:rPr>
        <w:t>圆钢做为接地线进行相连，使所有路灯基础连成一体，</w:t>
      </w:r>
      <w:r>
        <w:rPr>
          <w:rFonts w:hint="eastAsia" w:ascii="新宋体" w:hAnsi="新宋体" w:eastAsia="新宋体" w:cs="新宋体"/>
          <w:color w:val="auto"/>
          <w:sz w:val="24"/>
          <w:szCs w:val="24"/>
          <w:lang w:eastAsia="zh-CN"/>
        </w:rPr>
        <w:t>并</w:t>
      </w:r>
      <w:r>
        <w:rPr>
          <w:rFonts w:hint="eastAsia" w:ascii="新宋体" w:hAnsi="新宋体" w:eastAsia="新宋体" w:cs="新宋体"/>
          <w:color w:val="auto"/>
          <w:sz w:val="24"/>
          <w:szCs w:val="24"/>
          <w:lang w:val="en-US" w:eastAsia="zh-CN"/>
        </w:rPr>
        <w:t>附近现状照明回路</w:t>
      </w:r>
      <w:r>
        <w:rPr>
          <w:rFonts w:hint="eastAsia" w:ascii="新宋体" w:hAnsi="新宋体" w:eastAsia="新宋体" w:cs="新宋体"/>
          <w:color w:val="auto"/>
          <w:sz w:val="24"/>
          <w:szCs w:val="24"/>
          <w:lang w:eastAsia="zh-CN"/>
        </w:rPr>
        <w:t>接地体相连，</w:t>
      </w:r>
      <w:r>
        <w:rPr>
          <w:rFonts w:hint="eastAsia" w:ascii="新宋体" w:hAnsi="新宋体" w:eastAsia="新宋体" w:cs="新宋体"/>
          <w:color w:val="auto"/>
          <w:sz w:val="24"/>
          <w:szCs w:val="24"/>
        </w:rPr>
        <w:t>焊连成一整体接地装置。接地网的接地电阻要求不大于4欧姆。在利用自然接地体不能满足要求的情况下，应考虑适当增设专用接地网或人工接地体。</w:t>
      </w:r>
    </w:p>
    <w:p w14:paraId="12CCF569">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4.本系统铜铁连接处应采用过渡连接端子，若端子难以取得，则在接续处涂至少三遍沥青漆防腐。</w:t>
      </w:r>
    </w:p>
    <w:p w14:paraId="5FE5C495">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5.所有设备的外露的可导电部分均应与接地干线可靠连接。</w:t>
      </w:r>
    </w:p>
    <w:p w14:paraId="6CE78247">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11.8</w:t>
      </w:r>
      <w:r>
        <w:rPr>
          <w:rFonts w:hint="eastAsia" w:ascii="新宋体" w:hAnsi="新宋体" w:eastAsia="新宋体" w:cs="新宋体"/>
          <w:b/>
          <w:bCs/>
          <w:color w:val="auto"/>
          <w:sz w:val="24"/>
          <w:szCs w:val="24"/>
        </w:rPr>
        <w:t>、灯杆安装</w:t>
      </w:r>
    </w:p>
    <w:p w14:paraId="7C2C9A2A">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灯杆中心线倾斜度不大于0.005；在连续排列为一直线的灯杆段，段内灯杆错位（横向偏离）不大于100mm，对于道路弯曲段，错位可放宽为200mm以内；灯杆的纵向偏移允许士500mm，但仅限于相对于自身的原设计位置而言，不可与以后的灯杆连续积累误差，即各自灯杆误差按自己原设计定位就地消化。当有因土建等各种因素无法在原设计位置立杆时，应及时反映以便作相应调整、变更。灯杆安装应能抵抗40米/秒风速。</w:t>
      </w:r>
    </w:p>
    <w:p w14:paraId="51168C3F">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2．在所有路灯灯杆的背面处，明显标注路灯的回路、相序、杆序的标识(具体要求以当地路灯所要求为准)。</w:t>
      </w:r>
    </w:p>
    <w:p w14:paraId="4E3FB911">
      <w:pPr>
        <w:pStyle w:val="86"/>
        <w:adjustRightInd w:val="0"/>
        <w:snapToGrid w:val="0"/>
        <w:spacing w:after="0" w:line="360" w:lineRule="auto"/>
        <w:ind w:firstLine="482" w:firstLineChars="200"/>
        <w:rPr>
          <w:rFonts w:hint="eastAsia" w:ascii="新宋体" w:hAnsi="新宋体" w:eastAsia="新宋体" w:cs="新宋体"/>
          <w:b/>
          <w:bCs/>
          <w:color w:val="auto"/>
          <w:sz w:val="24"/>
          <w:szCs w:val="24"/>
        </w:rPr>
      </w:pPr>
      <w:r>
        <w:rPr>
          <w:rFonts w:hint="eastAsia" w:ascii="新宋体" w:hAnsi="新宋体" w:eastAsia="新宋体" w:cs="新宋体"/>
          <w:b/>
          <w:bCs/>
          <w:color w:val="auto"/>
          <w:sz w:val="24"/>
          <w:szCs w:val="24"/>
          <w:lang w:val="en-US" w:eastAsia="zh-CN"/>
        </w:rPr>
        <w:t>11.9</w:t>
      </w:r>
      <w:r>
        <w:rPr>
          <w:rFonts w:hint="eastAsia" w:ascii="新宋体" w:hAnsi="新宋体" w:eastAsia="新宋体" w:cs="新宋体"/>
          <w:b/>
          <w:bCs/>
          <w:color w:val="auto"/>
          <w:sz w:val="24"/>
          <w:szCs w:val="24"/>
        </w:rPr>
        <w:t>、其他</w:t>
      </w:r>
    </w:p>
    <w:p w14:paraId="6E5F7973">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1．工程施工应严格按照《城市道路照明工程施工及验收规程》进行。</w:t>
      </w:r>
    </w:p>
    <w:p w14:paraId="374ACCF7">
      <w:pPr>
        <w:pStyle w:val="86"/>
        <w:adjustRightInd w:val="0"/>
        <w:snapToGrid w:val="0"/>
        <w:spacing w:after="0" w:line="360" w:lineRule="auto"/>
        <w:ind w:firstLine="480" w:firstLineChars="200"/>
        <w:rPr>
          <w:rFonts w:hint="eastAsia" w:ascii="新宋体" w:hAnsi="新宋体" w:eastAsia="新宋体" w:cs="新宋体"/>
          <w:color w:val="auto"/>
          <w:sz w:val="24"/>
          <w:szCs w:val="24"/>
        </w:rPr>
      </w:pPr>
      <w:r>
        <w:rPr>
          <w:rFonts w:hint="eastAsia" w:ascii="新宋体" w:hAnsi="新宋体" w:eastAsia="新宋体" w:cs="新宋体"/>
          <w:color w:val="auto"/>
          <w:sz w:val="24"/>
          <w:szCs w:val="24"/>
        </w:rPr>
        <w:t>2．路灯杆加工按业主及有关规范要求。</w:t>
      </w:r>
    </w:p>
    <w:p w14:paraId="756D5A8B">
      <w:pPr>
        <w:pStyle w:val="86"/>
        <w:adjustRightInd w:val="0"/>
        <w:snapToGrid w:val="0"/>
        <w:spacing w:after="0" w:line="360" w:lineRule="auto"/>
        <w:ind w:firstLine="480" w:firstLineChars="200"/>
        <w:rPr>
          <w:rFonts w:hint="eastAsia" w:ascii="新宋体" w:hAnsi="新宋体" w:eastAsia="新宋体" w:cs="新宋体"/>
          <w:color w:val="auto"/>
          <w:sz w:val="24"/>
          <w:szCs w:val="24"/>
          <w:lang w:val="en-US" w:eastAsia="zh-CN"/>
        </w:rPr>
      </w:pPr>
      <w:r>
        <w:rPr>
          <w:rFonts w:hint="eastAsia" w:ascii="新宋体" w:hAnsi="新宋体" w:eastAsia="新宋体" w:cs="新宋体"/>
          <w:color w:val="auto"/>
          <w:sz w:val="24"/>
          <w:szCs w:val="24"/>
          <w:lang w:val="en-US" w:eastAsia="zh-CN"/>
        </w:rPr>
        <w:t>3</w:t>
      </w:r>
      <w:r>
        <w:rPr>
          <w:rFonts w:hint="eastAsia" w:ascii="新宋体" w:hAnsi="新宋体" w:eastAsia="新宋体" w:cs="新宋体"/>
          <w:color w:val="auto"/>
          <w:sz w:val="24"/>
          <w:szCs w:val="24"/>
        </w:rPr>
        <w:t>．</w:t>
      </w:r>
      <w:r>
        <w:rPr>
          <w:rFonts w:hint="eastAsia" w:ascii="新宋体" w:hAnsi="新宋体" w:eastAsia="新宋体" w:cs="新宋体"/>
          <w:color w:val="auto"/>
          <w:sz w:val="24"/>
          <w:szCs w:val="24"/>
          <w:lang w:val="en-US" w:eastAsia="zh-CN"/>
        </w:rPr>
        <w:t>为加强全市照明设施信息化管理工作，工程竣工后按要求向</w:t>
      </w:r>
      <w:r>
        <w:rPr>
          <w:rFonts w:hint="eastAsia"/>
          <w:color w:val="auto"/>
          <w:lang w:val="en-US" w:eastAsia="zh-CN"/>
        </w:rPr>
        <w:t>广州市照明建设管理中心</w:t>
      </w:r>
      <w:r>
        <w:rPr>
          <w:rFonts w:hint="eastAsia" w:ascii="新宋体" w:hAnsi="新宋体" w:eastAsia="新宋体" w:cs="新宋体"/>
          <w:color w:val="auto"/>
          <w:sz w:val="24"/>
          <w:szCs w:val="24"/>
          <w:lang w:val="en-US" w:eastAsia="zh-CN"/>
        </w:rPr>
        <w:t>提供照明设施的信息数据，确保新建路灯基础数据及时录入中心照明管理系统。</w:t>
      </w:r>
    </w:p>
    <w:p w14:paraId="64EDC15F">
      <w:pPr>
        <w:pStyle w:val="86"/>
        <w:adjustRightInd w:val="0"/>
        <w:snapToGrid w:val="0"/>
        <w:spacing w:after="0" w:line="360" w:lineRule="auto"/>
        <w:ind w:firstLine="480" w:firstLineChars="200"/>
        <w:rPr>
          <w:rFonts w:hint="eastAsia" w:ascii="新宋体" w:hAnsi="新宋体" w:eastAsia="新宋体" w:cs="新宋体"/>
          <w:b w:val="0"/>
          <w:bCs w:val="0"/>
          <w:color w:val="auto"/>
          <w:sz w:val="24"/>
          <w:szCs w:val="24"/>
          <w:lang w:eastAsia="zh-CN"/>
        </w:rPr>
      </w:pPr>
      <w:r>
        <w:rPr>
          <w:rFonts w:hint="eastAsia" w:ascii="新宋体" w:hAnsi="新宋体" w:eastAsia="新宋体" w:cs="新宋体"/>
          <w:b w:val="0"/>
          <w:bCs w:val="0"/>
          <w:color w:val="auto"/>
          <w:sz w:val="24"/>
          <w:szCs w:val="24"/>
          <w:lang w:val="en-US" w:eastAsia="zh-CN"/>
        </w:rPr>
        <w:t>4.</w:t>
      </w:r>
      <w:r>
        <w:rPr>
          <w:rFonts w:hint="eastAsia" w:ascii="新宋体" w:hAnsi="新宋体" w:eastAsia="新宋体" w:cs="新宋体"/>
          <w:b w:val="0"/>
          <w:bCs w:val="0"/>
          <w:color w:val="auto"/>
          <w:sz w:val="24"/>
          <w:szCs w:val="24"/>
        </w:rPr>
        <w:t>本套出版图纸说明：本设计图中标注型号的设备或材料（包括线缆），仅作为设计控制产品选型的依据，非强制使用，可以采用相同技术数据（包括技术性能指标，安装外型尺寸等）的设备及产品代替。所选设备仅供参数选择，不作为品牌推荐。所有设备确定后均需建设、施工、设计、监理四方进行技术交底</w:t>
      </w:r>
      <w:r>
        <w:rPr>
          <w:rFonts w:hint="eastAsia" w:ascii="新宋体" w:hAnsi="新宋体" w:eastAsia="新宋体" w:cs="新宋体"/>
          <w:b w:val="0"/>
          <w:bCs w:val="0"/>
          <w:color w:val="auto"/>
          <w:sz w:val="24"/>
          <w:szCs w:val="24"/>
          <w:lang w:eastAsia="zh-CN"/>
        </w:rPr>
        <w:t>。</w:t>
      </w:r>
    </w:p>
    <w:p w14:paraId="5B0FD88A">
      <w:pPr>
        <w:pStyle w:val="86"/>
        <w:adjustRightInd w:val="0"/>
        <w:snapToGrid w:val="0"/>
        <w:spacing w:after="0" w:line="360" w:lineRule="auto"/>
        <w:ind w:firstLine="482" w:firstLineChars="200"/>
        <w:rPr>
          <w:rFonts w:hint="eastAsia" w:ascii="新宋体" w:hAnsi="新宋体" w:eastAsia="新宋体" w:cs="新宋体"/>
          <w:b/>
          <w:bCs/>
          <w:color w:val="auto"/>
          <w:sz w:val="24"/>
          <w:szCs w:val="24"/>
          <w:lang w:eastAsia="zh-CN"/>
        </w:rPr>
      </w:pPr>
      <w:r>
        <w:rPr>
          <w:rFonts w:hint="eastAsia" w:ascii="新宋体" w:hAnsi="新宋体" w:eastAsia="新宋体" w:cs="新宋体"/>
          <w:b/>
          <w:bCs/>
          <w:color w:val="auto"/>
          <w:sz w:val="24"/>
          <w:szCs w:val="24"/>
          <w:lang w:val="en-US" w:eastAsia="zh-CN"/>
        </w:rPr>
        <w:t>11.10</w:t>
      </w:r>
      <w:r>
        <w:rPr>
          <w:rFonts w:hint="eastAsia" w:ascii="新宋体" w:hAnsi="新宋体" w:eastAsia="新宋体" w:cs="新宋体"/>
          <w:b/>
          <w:bCs/>
          <w:color w:val="auto"/>
          <w:sz w:val="24"/>
          <w:szCs w:val="24"/>
        </w:rPr>
        <w:t>、</w:t>
      </w:r>
      <w:r>
        <w:rPr>
          <w:rFonts w:hint="eastAsia" w:ascii="新宋体" w:hAnsi="新宋体" w:eastAsia="新宋体" w:cs="新宋体"/>
          <w:b/>
          <w:bCs/>
          <w:color w:val="auto"/>
          <w:sz w:val="24"/>
          <w:szCs w:val="24"/>
          <w:lang w:val="en-US" w:eastAsia="zh-CN"/>
        </w:rPr>
        <w:t>抗震</w:t>
      </w:r>
    </w:p>
    <w:p w14:paraId="23F935D8">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1、抗震设防烈度为6度及6度以上地区的建筑机电工程必须按照《建筑机电工程抗震设计规范》GB50981-2014进行抗震设计。</w:t>
      </w:r>
    </w:p>
    <w:p w14:paraId="4BDE56CC">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2、广州市花都区抗震设防烈度为 6度，地震分组为 第一组 ；设计基本地震加速度值为 0.05g。</w:t>
      </w:r>
    </w:p>
    <w:p w14:paraId="3CCBF298">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1</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变压器安装就位后应焊接牢固，内部线圈应牢固固定在变压器外壳内的支承结构上，支承面宜适当加宽，并设置防止其移动和倾倒的限位器,对接入和接出的柔性导体留有位移的空间。</w:t>
      </w:r>
    </w:p>
    <w:p w14:paraId="13D3D755">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2</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配电箱(柜)、通信设备的安装螺栓或焊接强度应满足抗震要求，靠墙安装的配电柜、通信设备机柜底部安装应牢固。当底部安装螺栓或焊接强度不够时，应将顶部与墙壁进行连接，当非靠墙落地安装时，根部应采用金属膨胀螺栓或焊接的固定方式。当8度或9度时，可将几个柜的重心位置以上连成整体；壁式安装的配电箱与墙壁之间应采用金属膨胀螺栓连接。柜内元器件应考虑与支承结构间的相互作用，元器件之间采用软连接，接线处应做防震处理。配电箱(柜)面上的仪表应与柜体组装牢固。</w:t>
      </w:r>
    </w:p>
    <w:p w14:paraId="647CD668">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3</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配电导体采用硬母线敷设且直线段长度大于80m时，应每50m设置伸缩节，在电缆桥架、电缆槽盒内敷设的缆线在引进、引出和转弯处，应在长度上留有余量。接地线应采取防止地震时被切断的措施。</w:t>
      </w:r>
    </w:p>
    <w:p w14:paraId="7BE3D51F">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4</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缆线穿管敷设时宜采用弹性和延性较好的管材、引入建筑物的电气管路敷设时，在进口处应采用挠性线管或采取其他抗震措施，进户井贴邻建筑物设置时，缆线应在井中留有余量；进户套管与引入管之间的间隙应采用柔性防腐、防水材料密封。</w:t>
      </w:r>
    </w:p>
    <w:p w14:paraId="76E15B2C">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5</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电气管路不易穿越抗震缝，当必须穿越时应符合下列规定：1 采用金属导管、刚性塑料导管敷设时宜靠近建筑物下部穿越，且在抗震缝两侧应各设置一个柔性管接头；2 电缆梯架、电缆槽盒、母线槽在抗震缝两侧应设置伸缩节；3 抗震缝的两端应设置抗震支撑节点并与结构可靠连接。</w:t>
      </w:r>
    </w:p>
    <w:p w14:paraId="386DC9AC">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6</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电气管路敷设时应符合下列规定：1 当线路采用金属导管、刚性塑料导管、电缆梯架或电缆槽盒敷设时，应使用刚性托架或支架固定，不宜使用吊架。当必须使用吊架时，应安装横向防晃支架；2 当金属导管、刚性塑料导管、电缆梯架或电缆槽盒穿越防火分区时，其缝隙应采用柔性防火封堵材料封堵，并应在贯穿部位附近设置抗震支撑； 3 金属导管、刚性塑料导管的直线段部分每隔30m应设置伸缩节。</w:t>
      </w:r>
    </w:p>
    <w:p w14:paraId="1575765F">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7</w:t>
      </w:r>
      <w:r>
        <w:rPr>
          <w:rFonts w:hint="eastAsia" w:ascii="新宋体" w:hAnsi="新宋体" w:eastAsia="新宋体" w:cs="新宋体"/>
          <w:color w:val="FF0000"/>
          <w:sz w:val="24"/>
          <w:szCs w:val="24"/>
          <w:lang w:eastAsia="zh-CN"/>
        </w:rPr>
        <w:t>）</w:t>
      </w:r>
      <w:r>
        <w:rPr>
          <w:rFonts w:hint="eastAsia" w:ascii="新宋体" w:hAnsi="新宋体" w:eastAsia="新宋体" w:cs="新宋体"/>
          <w:color w:val="FF0000"/>
          <w:sz w:val="24"/>
          <w:szCs w:val="24"/>
          <w:lang w:val="en-US" w:eastAsia="zh-CN"/>
        </w:rPr>
        <w:t>配电装置至用电设备间连线应符合下列规定：1宜采用软导体；2当采用穿金属导管、刚性塑料导管敷设时，进口处应转为挠性线管过渡；3当采用电缆梯架或电缆槽盒敷设时，进口处应转为挠性线管过渡。</w:t>
      </w:r>
    </w:p>
    <w:p w14:paraId="788EA70B">
      <w:pPr>
        <w:pStyle w:val="86"/>
        <w:adjustRightInd w:val="0"/>
        <w:snapToGrid w:val="0"/>
        <w:spacing w:after="0" w:line="360" w:lineRule="auto"/>
        <w:ind w:firstLine="482" w:firstLineChars="200"/>
        <w:rPr>
          <w:rFonts w:hint="eastAsia" w:ascii="新宋体" w:hAnsi="新宋体" w:eastAsia="新宋体" w:cs="新宋体"/>
          <w:b/>
          <w:bCs/>
          <w:color w:val="auto"/>
          <w:sz w:val="24"/>
          <w:szCs w:val="24"/>
          <w:lang w:eastAsia="zh-CN"/>
        </w:rPr>
      </w:pPr>
      <w:r>
        <w:rPr>
          <w:rFonts w:hint="eastAsia" w:ascii="新宋体" w:hAnsi="新宋体" w:eastAsia="新宋体" w:cs="新宋体"/>
          <w:b/>
          <w:bCs/>
          <w:color w:val="auto"/>
          <w:sz w:val="24"/>
          <w:szCs w:val="24"/>
          <w:lang w:val="en-US" w:eastAsia="zh-CN"/>
        </w:rPr>
        <w:t>11.11</w:t>
      </w:r>
      <w:r>
        <w:rPr>
          <w:rFonts w:hint="eastAsia" w:ascii="新宋体" w:hAnsi="新宋体" w:eastAsia="新宋体" w:cs="新宋体"/>
          <w:b/>
          <w:bCs/>
          <w:color w:val="auto"/>
          <w:sz w:val="24"/>
          <w:szCs w:val="24"/>
        </w:rPr>
        <w:t>、</w:t>
      </w:r>
      <w:r>
        <w:rPr>
          <w:rFonts w:hint="eastAsia" w:ascii="新宋体" w:hAnsi="新宋体" w:eastAsia="新宋体" w:cs="新宋体"/>
          <w:color w:val="FF0000"/>
          <w:sz w:val="24"/>
          <w:szCs w:val="24"/>
          <w:lang w:val="en-US" w:eastAsia="zh-CN"/>
        </w:rPr>
        <w:t>安全事项</w:t>
      </w:r>
    </w:p>
    <w:p w14:paraId="311E1284">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1.补充路灯电源接入过程中，一定是在断电状态下进行。</w:t>
      </w:r>
    </w:p>
    <w:p w14:paraId="4EAA10EB">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eastAsia="zh-CN"/>
        </w:rPr>
      </w:pPr>
      <w:r>
        <w:rPr>
          <w:rFonts w:hint="eastAsia" w:ascii="新宋体" w:hAnsi="新宋体" w:eastAsia="新宋体" w:cs="新宋体"/>
          <w:color w:val="FF0000"/>
          <w:sz w:val="24"/>
          <w:szCs w:val="24"/>
          <w:lang w:val="en-US" w:eastAsia="zh-CN"/>
        </w:rPr>
        <w:t>2.</w:t>
      </w:r>
      <w:r>
        <w:rPr>
          <w:rFonts w:hint="eastAsia" w:ascii="新宋体" w:hAnsi="新宋体" w:eastAsia="新宋体" w:cs="新宋体"/>
          <w:color w:val="FF0000"/>
          <w:sz w:val="24"/>
          <w:szCs w:val="24"/>
          <w:lang w:eastAsia="zh-CN"/>
        </w:rPr>
        <w:t>临时电源必须装设漏电保护装置，防止人身触电和设备火灾。</w:t>
      </w:r>
    </w:p>
    <w:p w14:paraId="42C450ED">
      <w:pPr>
        <w:keepLines w:val="0"/>
        <w:pageBreakBefore w:val="0"/>
        <w:kinsoku/>
        <w:wordWrap/>
        <w:overflowPunct/>
        <w:topLinePunct w:val="0"/>
        <w:bidi w:val="0"/>
        <w:spacing w:beforeAutospacing="0" w:line="336" w:lineRule="auto"/>
        <w:ind w:firstLine="480" w:firstLineChars="200"/>
        <w:textAlignment w:val="auto"/>
        <w:rPr>
          <w:rFonts w:hint="eastAsia" w:ascii="新宋体" w:hAnsi="新宋体" w:eastAsia="新宋体" w:cs="新宋体"/>
          <w:color w:val="FF0000"/>
          <w:sz w:val="24"/>
          <w:szCs w:val="24"/>
          <w:lang w:val="en-US" w:eastAsia="zh-CN"/>
        </w:rPr>
      </w:pPr>
      <w:r>
        <w:rPr>
          <w:rFonts w:hint="eastAsia" w:ascii="新宋体" w:hAnsi="新宋体" w:eastAsia="新宋体" w:cs="新宋体"/>
          <w:color w:val="FF0000"/>
          <w:sz w:val="24"/>
          <w:szCs w:val="24"/>
          <w:lang w:val="en-US" w:eastAsia="zh-CN"/>
        </w:rPr>
        <w:t>3.</w:t>
      </w:r>
      <w:r>
        <w:rPr>
          <w:rFonts w:hint="eastAsia" w:ascii="新宋体" w:hAnsi="新宋体" w:eastAsia="新宋体" w:cs="新宋体"/>
          <w:color w:val="FF0000"/>
          <w:sz w:val="24"/>
          <w:szCs w:val="24"/>
          <w:lang w:eastAsia="zh-CN"/>
        </w:rPr>
        <w:t>所有用电设备、机具需做好接地保护。可能遭受雷击和雷电感应的设备需设避雷装置。施工现场的临时用电系统严禁利用大地做相线和保护中性线。PE 线上不准装设开关或熔断器。</w:t>
      </w:r>
    </w:p>
    <w:p w14:paraId="5F50E765">
      <w:pPr>
        <w:pStyle w:val="86"/>
        <w:adjustRightInd w:val="0"/>
        <w:snapToGrid w:val="0"/>
        <w:spacing w:after="0" w:line="360" w:lineRule="auto"/>
        <w:ind w:firstLine="480" w:firstLineChars="200"/>
        <w:rPr>
          <w:rFonts w:hint="eastAsia" w:ascii="新宋体" w:hAnsi="新宋体" w:eastAsia="新宋体" w:cs="新宋体"/>
          <w:b w:val="0"/>
          <w:bCs w:val="0"/>
          <w:color w:val="auto"/>
          <w:sz w:val="24"/>
          <w:szCs w:val="24"/>
          <w:lang w:val="en-US" w:eastAsia="zh-CN"/>
        </w:rPr>
      </w:pPr>
    </w:p>
    <w:p w14:paraId="6AADD8A9">
      <w:pPr>
        <w:pStyle w:val="3"/>
        <w:bidi w:val="0"/>
        <w:ind w:firstLine="198"/>
        <w:rPr>
          <w:rFonts w:hint="default" w:ascii="宋体" w:hAnsi="宋体" w:eastAsia="宋体"/>
          <w:b/>
          <w:color w:val="auto"/>
          <w:lang w:val="en-US" w:eastAsia="zh-CN"/>
        </w:rPr>
      </w:pPr>
      <w:r>
        <w:rPr>
          <w:rFonts w:hint="eastAsia" w:ascii="宋体" w:hAnsi="宋体" w:eastAsia="宋体"/>
          <w:b/>
          <w:color w:val="auto"/>
          <w:lang w:val="en-US" w:eastAsia="zh-CN"/>
        </w:rPr>
        <w:t>十二、</w:t>
      </w:r>
      <w:r>
        <w:rPr>
          <w:rFonts w:hint="eastAsia" w:ascii="Times New Roman" w:hAnsi="Times New Roman" w:eastAsia="宋体"/>
          <w:lang w:val="en-US" w:eastAsia="zh-CN"/>
        </w:rPr>
        <w:t>附件</w:t>
      </w:r>
    </w:p>
    <w:p w14:paraId="3AC08D88">
      <w:pPr>
        <w:ind w:firstLine="480"/>
      </w:pPr>
      <w:r>
        <w:drawing>
          <wp:inline distT="0" distB="0" distL="114300" distR="114300">
            <wp:extent cx="4917440" cy="7557135"/>
            <wp:effectExtent l="0" t="0" r="16510" b="571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4"/>
                    <a:stretch>
                      <a:fillRect/>
                    </a:stretch>
                  </pic:blipFill>
                  <pic:spPr>
                    <a:xfrm>
                      <a:off x="0" y="0"/>
                      <a:ext cx="4917440" cy="7557135"/>
                    </a:xfrm>
                    <a:prstGeom prst="rect">
                      <a:avLst/>
                    </a:prstGeom>
                    <a:noFill/>
                    <a:ln>
                      <a:noFill/>
                    </a:ln>
                  </pic:spPr>
                </pic:pic>
              </a:graphicData>
            </a:graphic>
          </wp:inline>
        </w:drawing>
      </w:r>
    </w:p>
    <w:p w14:paraId="4406E2BE">
      <w:pPr>
        <w:pStyle w:val="8"/>
      </w:pPr>
      <w:r>
        <w:drawing>
          <wp:inline distT="0" distB="0" distL="114300" distR="114300">
            <wp:extent cx="6010275" cy="8572500"/>
            <wp:effectExtent l="0" t="0" r="9525" b="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25"/>
                    <a:stretch>
                      <a:fillRect/>
                    </a:stretch>
                  </pic:blipFill>
                  <pic:spPr>
                    <a:xfrm>
                      <a:off x="0" y="0"/>
                      <a:ext cx="6010275" cy="8572500"/>
                    </a:xfrm>
                    <a:prstGeom prst="rect">
                      <a:avLst/>
                    </a:prstGeom>
                    <a:noFill/>
                    <a:ln>
                      <a:noFill/>
                    </a:ln>
                  </pic:spPr>
                </pic:pic>
              </a:graphicData>
            </a:graphic>
          </wp:inline>
        </w:drawing>
      </w:r>
    </w:p>
    <w:sectPr>
      <w:headerReference r:id="rId13" w:type="first"/>
      <w:footerReference r:id="rId16" w:type="first"/>
      <w:headerReference r:id="rId11" w:type="default"/>
      <w:footerReference r:id="rId14" w:type="default"/>
      <w:headerReference r:id="rId12" w:type="even"/>
      <w:footerReference r:id="rId15" w:type="even"/>
      <w:pgSz w:w="23811" w:h="16838" w:orient="landscape"/>
      <w:pgMar w:top="1418" w:right="1440" w:bottom="1134" w:left="1440" w:header="680" w:footer="737" w:gutter="0"/>
      <w:pgNumType w:start="1"/>
      <w:cols w:space="1201" w:num="2"/>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swiss"/>
    <w:pitch w:val="default"/>
    <w:sig w:usb0="80000287" w:usb1="2ACF3C50" w:usb2="00000016" w:usb3="00000000" w:csb0="0004001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新宋体">
    <w:panose1 w:val="02010609030101010101"/>
    <w:charset w:val="86"/>
    <w:family w:val="auto"/>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A885D">
    <w:pPr>
      <w:pStyle w:val="55"/>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E4955">
    <w:pPr>
      <w:pStyle w:val="5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F0DE">
    <w:pPr>
      <w:pStyle w:val="5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4170558"/>
      <w:docPartObj>
        <w:docPartGallery w:val="autotext"/>
      </w:docPartObj>
    </w:sdtPr>
    <w:sdtContent>
      <w:p w14:paraId="2845A885">
        <w:pPr>
          <w:pStyle w:val="55"/>
          <w:pBdr>
            <w:top w:val="thinThickSmallGap" w:color="auto" w:sz="18" w:space="1"/>
          </w:pBdr>
          <w:ind w:firstLine="360"/>
          <w:jc w:val="center"/>
        </w:pPr>
        <w:r>
          <w:fldChar w:fldCharType="begin"/>
        </w:r>
        <w:r>
          <w:instrText xml:space="preserve">PAGE   \* MERGEFORMAT</w:instrText>
        </w:r>
        <w:r>
          <w:fldChar w:fldCharType="separate"/>
        </w:r>
        <w:r>
          <w:rPr>
            <w:lang w:val="zh-CN"/>
          </w:rPr>
          <w:t>1</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55B0C9">
    <w:pPr>
      <w:pStyle w:val="5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26D90">
    <w:pPr>
      <w:pStyle w:val="5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4A8691">
    <w:pPr>
      <w:pStyle w:val="57"/>
      <w:pBdr>
        <w:bottom w:val="none" w:color="auto" w:sz="0" w:space="0"/>
      </w:pBdr>
      <w:ind w:firstLine="0" w:firstLineChars="0"/>
      <w:jc w:val="left"/>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08874">
    <w:pPr>
      <w:pStyle w:val="5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ADE68">
    <w:pPr>
      <w:pStyle w:val="5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9BF84">
    <w:pPr>
      <w:pStyle w:val="57"/>
      <w:pBdr>
        <w:bottom w:val="thinThickSmallGap" w:color="auto" w:sz="24" w:space="1"/>
      </w:pBdr>
      <w:ind w:firstLine="0" w:firstLineChars="0"/>
      <w:jc w:val="left"/>
      <w:rPr>
        <w:sz w:val="21"/>
        <w:szCs w:val="21"/>
      </w:rPr>
    </w:pPr>
    <w:r>
      <w:rPr>
        <w:rFonts w:hint="eastAsia" w:ascii="宋体" w:hAnsi="宋体"/>
        <w:bCs/>
        <w:sz w:val="21"/>
        <w:szCs w:val="21"/>
      </w:rPr>
      <w:t>广州空港经济区拆迁安置区（花东安置区）教育配套设施建设项目</w:t>
    </w:r>
    <w:r>
      <w:rPr>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8C817">
    <w:pPr>
      <w:pStyle w:val="57"/>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19AD8">
    <w:pPr>
      <w:pStyle w:val="5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5"/>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8"/>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1"/>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0">
    <w:nsid w:val="05F31FEB"/>
    <w:multiLevelType w:val="singleLevel"/>
    <w:tmpl w:val="05F31FEB"/>
    <w:lvl w:ilvl="0" w:tentative="0">
      <w:start w:val="3"/>
      <w:numFmt w:val="decimal"/>
      <w:suff w:val="space"/>
      <w:lvlText w:val="%1)"/>
      <w:lvlJc w:val="left"/>
    </w:lvl>
  </w:abstractNum>
  <w:abstractNum w:abstractNumId="11">
    <w:nsid w:val="187CB868"/>
    <w:multiLevelType w:val="singleLevel"/>
    <w:tmpl w:val="187CB868"/>
    <w:lvl w:ilvl="0" w:tentative="0">
      <w:start w:val="2"/>
      <w:numFmt w:val="decimal"/>
      <w:suff w:val="nothing"/>
      <w:lvlText w:val="（%1）"/>
      <w:lvlJc w:val="left"/>
    </w:lvl>
  </w:abstractNum>
  <w:abstractNum w:abstractNumId="12">
    <w:nsid w:val="32BE505B"/>
    <w:multiLevelType w:val="multilevel"/>
    <w:tmpl w:val="32BE505B"/>
    <w:lvl w:ilvl="0" w:tentative="0">
      <w:start w:val="1"/>
      <w:numFmt w:val="decimal"/>
      <w:pStyle w:val="135"/>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5507684"/>
    <w:multiLevelType w:val="multilevel"/>
    <w:tmpl w:val="35507684"/>
    <w:lvl w:ilvl="0" w:tentative="0">
      <w:start w:val="1"/>
      <w:numFmt w:val="decimal"/>
      <w:pStyle w:val="103"/>
      <w:suff w:val="nothing"/>
      <w:lvlText w:val="（%1）"/>
      <w:lvlJc w:val="left"/>
      <w:pPr>
        <w:ind w:left="0" w:firstLine="0"/>
      </w:pPr>
      <w:rPr>
        <w:rFonts w:hint="default" w:ascii="Times New Roman" w:hAnsi="Times New Roman"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84488BF"/>
    <w:multiLevelType w:val="singleLevel"/>
    <w:tmpl w:val="384488BF"/>
    <w:lvl w:ilvl="0" w:tentative="0">
      <w:start w:val="7"/>
      <w:numFmt w:val="chineseCounting"/>
      <w:suff w:val="nothing"/>
      <w:lvlText w:val="%1、"/>
      <w:lvlJc w:val="left"/>
      <w:rPr>
        <w:rFonts w:hint="eastAsia"/>
      </w:rPr>
    </w:lvl>
  </w:abstractNum>
  <w:abstractNum w:abstractNumId="15">
    <w:nsid w:val="44F410FA"/>
    <w:multiLevelType w:val="multilevel"/>
    <w:tmpl w:val="44F410FA"/>
    <w:lvl w:ilvl="0" w:tentative="0">
      <w:start w:val="1"/>
      <w:numFmt w:val="decimal"/>
      <w:pStyle w:val="143"/>
      <w:lvlText w:val="（%1）"/>
      <w:lvlJc w:val="left"/>
      <w:pPr>
        <w:ind w:left="1200" w:hanging="720"/>
      </w:pPr>
      <w:rPr>
        <w:rFonts w:hint="default" w:cs="Times New Roman"/>
      </w:rPr>
    </w:lvl>
    <w:lvl w:ilvl="1" w:tentative="0">
      <w:start w:val="1"/>
      <w:numFmt w:val="lowerLetter"/>
      <w:pStyle w:val="145"/>
      <w:lvlText w:val="%2)"/>
      <w:lvlJc w:val="left"/>
      <w:pPr>
        <w:ind w:left="1320" w:hanging="420"/>
      </w:pPr>
      <w:rPr>
        <w:rFonts w:cs="Times New Roman"/>
      </w:rPr>
    </w:lvl>
    <w:lvl w:ilvl="2" w:tentative="0">
      <w:start w:val="1"/>
      <w:numFmt w:val="lowerRoman"/>
      <w:pStyle w:val="144"/>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pStyle w:val="7"/>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pStyle w:val="10"/>
      <w:lvlText w:val="%7."/>
      <w:lvlJc w:val="left"/>
      <w:pPr>
        <w:ind w:left="3420" w:hanging="420"/>
      </w:pPr>
      <w:rPr>
        <w:rFonts w:cs="Times New Roman"/>
      </w:rPr>
    </w:lvl>
    <w:lvl w:ilvl="7" w:tentative="0">
      <w:start w:val="1"/>
      <w:numFmt w:val="lowerLetter"/>
      <w:pStyle w:val="11"/>
      <w:lvlText w:val="%8)"/>
      <w:lvlJc w:val="left"/>
      <w:pPr>
        <w:ind w:left="3840" w:hanging="420"/>
      </w:pPr>
      <w:rPr>
        <w:rFonts w:cs="Times New Roman"/>
      </w:rPr>
    </w:lvl>
    <w:lvl w:ilvl="8" w:tentative="0">
      <w:start w:val="1"/>
      <w:numFmt w:val="lowerRoman"/>
      <w:pStyle w:val="12"/>
      <w:lvlText w:val="%9."/>
      <w:lvlJc w:val="right"/>
      <w:pPr>
        <w:ind w:left="4260" w:hanging="420"/>
      </w:pPr>
      <w:rPr>
        <w:rFonts w:cs="Times New Roman"/>
      </w:rPr>
    </w:lvl>
  </w:abstractNum>
  <w:abstractNum w:abstractNumId="16">
    <w:nsid w:val="630220D0"/>
    <w:multiLevelType w:val="multilevel"/>
    <w:tmpl w:val="630220D0"/>
    <w:lvl w:ilvl="0" w:tentative="0">
      <w:start w:val="1"/>
      <w:numFmt w:val="chineseCountingThousand"/>
      <w:suff w:val="space"/>
      <w:lvlText w:val="第%1章"/>
      <w:lvlJc w:val="left"/>
      <w:pPr>
        <w:ind w:left="0" w:firstLine="0"/>
      </w:pPr>
      <w:rPr>
        <w:rFonts w:hint="eastAsia"/>
      </w:rPr>
    </w:lvl>
    <w:lvl w:ilvl="1" w:tentative="0">
      <w:start w:val="1"/>
      <w:numFmt w:val="decimal"/>
      <w:pStyle w:val="4"/>
      <w:isLgl/>
      <w:suff w:val="space"/>
      <w:lvlText w:val="%1.%2"/>
      <w:lvlJc w:val="left"/>
      <w:pPr>
        <w:ind w:left="0" w:firstLine="0"/>
      </w:pPr>
      <w:rPr>
        <w:rFonts w:hint="eastAsia"/>
      </w:rPr>
    </w:lvl>
    <w:lvl w:ilvl="2" w:tentative="0">
      <w:start w:val="1"/>
      <w:numFmt w:val="decimal"/>
      <w:pStyle w:val="5"/>
      <w:isLgl/>
      <w:suff w:val="space"/>
      <w:lvlText w:val="%1.%2.%3"/>
      <w:lvlJc w:val="left"/>
      <w:pPr>
        <w:ind w:left="284" w:firstLine="0"/>
      </w:pPr>
      <w:rPr>
        <w:rFonts w:hint="eastAsia"/>
      </w:rPr>
    </w:lvl>
    <w:lvl w:ilvl="3" w:tentative="0">
      <w:start w:val="1"/>
      <w:numFmt w:val="decimal"/>
      <w:pStyle w:val="6"/>
      <w:isLgl/>
      <w:suff w:val="space"/>
      <w:lvlText w:val="%1.%2.%3.%4"/>
      <w:lvlJc w:val="left"/>
      <w:pPr>
        <w:ind w:left="993" w:firstLine="0"/>
      </w:pPr>
      <w:rPr>
        <w:rFonts w:hint="eastAsia"/>
      </w:rPr>
    </w:lvl>
    <w:lvl w:ilvl="4" w:tentative="0">
      <w:start w:val="1"/>
      <w:numFmt w:val="decimal"/>
      <w:isLg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16"/>
  </w:num>
  <w:num w:numId="2">
    <w:abstractNumId w:val="15"/>
  </w:num>
  <w:num w:numId="3">
    <w:abstractNumId w:val="3"/>
  </w:num>
  <w:num w:numId="4">
    <w:abstractNumId w:val="5"/>
  </w:num>
  <w:num w:numId="5">
    <w:abstractNumId w:val="8"/>
  </w:num>
  <w:num w:numId="6">
    <w:abstractNumId w:val="9"/>
  </w:num>
  <w:num w:numId="7">
    <w:abstractNumId w:val="6"/>
  </w:num>
  <w:num w:numId="8">
    <w:abstractNumId w:val="2"/>
  </w:num>
  <w:num w:numId="9">
    <w:abstractNumId w:val="7"/>
  </w:num>
  <w:num w:numId="10">
    <w:abstractNumId w:val="4"/>
  </w:num>
  <w:num w:numId="11">
    <w:abstractNumId w:val="1"/>
  </w:num>
  <w:num w:numId="12">
    <w:abstractNumId w:val="0"/>
  </w:num>
  <w:num w:numId="13">
    <w:abstractNumId w:val="13"/>
  </w:num>
  <w:num w:numId="14">
    <w:abstractNumId w:val="12"/>
  </w:num>
  <w:num w:numId="15">
    <w:abstractNumId w:val="11"/>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
  <w:docVars>
    <w:docVar w:name="commondata" w:val="eyJoZGlkIjoiMWVhYTRhMTg0MmZjZjFhNTBhNmU3YzkzNzAwYzcyOWIifQ=="/>
  </w:docVars>
  <w:rsids>
    <w:rsidRoot w:val="00751B04"/>
    <w:rsid w:val="00001A35"/>
    <w:rsid w:val="00001D8D"/>
    <w:rsid w:val="00001DCB"/>
    <w:rsid w:val="00003BB8"/>
    <w:rsid w:val="00011B8F"/>
    <w:rsid w:val="00011E8C"/>
    <w:rsid w:val="00013980"/>
    <w:rsid w:val="00013E0D"/>
    <w:rsid w:val="00016470"/>
    <w:rsid w:val="00016A27"/>
    <w:rsid w:val="00025060"/>
    <w:rsid w:val="00026AE3"/>
    <w:rsid w:val="00030937"/>
    <w:rsid w:val="00030AF1"/>
    <w:rsid w:val="00030FE8"/>
    <w:rsid w:val="0003242B"/>
    <w:rsid w:val="000352B9"/>
    <w:rsid w:val="00040249"/>
    <w:rsid w:val="00050EB2"/>
    <w:rsid w:val="000574C3"/>
    <w:rsid w:val="000606DA"/>
    <w:rsid w:val="00061E0C"/>
    <w:rsid w:val="00062B6F"/>
    <w:rsid w:val="00063318"/>
    <w:rsid w:val="000637F3"/>
    <w:rsid w:val="00065413"/>
    <w:rsid w:val="000663EF"/>
    <w:rsid w:val="00071045"/>
    <w:rsid w:val="00071F29"/>
    <w:rsid w:val="00072C04"/>
    <w:rsid w:val="000748F4"/>
    <w:rsid w:val="0008196A"/>
    <w:rsid w:val="00082F76"/>
    <w:rsid w:val="00083773"/>
    <w:rsid w:val="00086E44"/>
    <w:rsid w:val="00090E10"/>
    <w:rsid w:val="00094425"/>
    <w:rsid w:val="0009467C"/>
    <w:rsid w:val="00097634"/>
    <w:rsid w:val="000A3B04"/>
    <w:rsid w:val="000A5256"/>
    <w:rsid w:val="000A6638"/>
    <w:rsid w:val="000A7BB0"/>
    <w:rsid w:val="000B02D2"/>
    <w:rsid w:val="000B2AEA"/>
    <w:rsid w:val="000B4A80"/>
    <w:rsid w:val="000B75D0"/>
    <w:rsid w:val="000C365D"/>
    <w:rsid w:val="000C55FF"/>
    <w:rsid w:val="000D1026"/>
    <w:rsid w:val="000D2EA4"/>
    <w:rsid w:val="000D3C34"/>
    <w:rsid w:val="000D45BD"/>
    <w:rsid w:val="000E0A89"/>
    <w:rsid w:val="000E12C7"/>
    <w:rsid w:val="000E2BD1"/>
    <w:rsid w:val="000E5621"/>
    <w:rsid w:val="000F133B"/>
    <w:rsid w:val="000F2720"/>
    <w:rsid w:val="000F3812"/>
    <w:rsid w:val="000F5477"/>
    <w:rsid w:val="0010027F"/>
    <w:rsid w:val="00103358"/>
    <w:rsid w:val="001058CD"/>
    <w:rsid w:val="0010791F"/>
    <w:rsid w:val="00112D98"/>
    <w:rsid w:val="001172B1"/>
    <w:rsid w:val="00121FA7"/>
    <w:rsid w:val="00125423"/>
    <w:rsid w:val="00125430"/>
    <w:rsid w:val="0012786A"/>
    <w:rsid w:val="00132C0B"/>
    <w:rsid w:val="00132C49"/>
    <w:rsid w:val="00134F22"/>
    <w:rsid w:val="00135D9F"/>
    <w:rsid w:val="0013650F"/>
    <w:rsid w:val="00137E0A"/>
    <w:rsid w:val="00142A6E"/>
    <w:rsid w:val="00144C59"/>
    <w:rsid w:val="0014785F"/>
    <w:rsid w:val="001512A0"/>
    <w:rsid w:val="00152A61"/>
    <w:rsid w:val="00154B35"/>
    <w:rsid w:val="001575D0"/>
    <w:rsid w:val="00157848"/>
    <w:rsid w:val="0016534D"/>
    <w:rsid w:val="001671A2"/>
    <w:rsid w:val="00171A31"/>
    <w:rsid w:val="00171DCE"/>
    <w:rsid w:val="001731E6"/>
    <w:rsid w:val="00175FA2"/>
    <w:rsid w:val="0018068F"/>
    <w:rsid w:val="00183B3D"/>
    <w:rsid w:val="00187197"/>
    <w:rsid w:val="00187F55"/>
    <w:rsid w:val="00191805"/>
    <w:rsid w:val="00191AC9"/>
    <w:rsid w:val="001948D1"/>
    <w:rsid w:val="001948DB"/>
    <w:rsid w:val="001966D8"/>
    <w:rsid w:val="001A1C7D"/>
    <w:rsid w:val="001A1D3E"/>
    <w:rsid w:val="001A5CCF"/>
    <w:rsid w:val="001B1299"/>
    <w:rsid w:val="001B1A28"/>
    <w:rsid w:val="001B53E4"/>
    <w:rsid w:val="001B6396"/>
    <w:rsid w:val="001B6519"/>
    <w:rsid w:val="001C1428"/>
    <w:rsid w:val="001C2050"/>
    <w:rsid w:val="001C2CB4"/>
    <w:rsid w:val="001C4BAF"/>
    <w:rsid w:val="001C4DDE"/>
    <w:rsid w:val="001C4DFE"/>
    <w:rsid w:val="001C5CB1"/>
    <w:rsid w:val="001D03BD"/>
    <w:rsid w:val="001D10BC"/>
    <w:rsid w:val="001D37FD"/>
    <w:rsid w:val="001D6C10"/>
    <w:rsid w:val="001E2700"/>
    <w:rsid w:val="001E2CC4"/>
    <w:rsid w:val="001E5B03"/>
    <w:rsid w:val="001F00BF"/>
    <w:rsid w:val="002012C9"/>
    <w:rsid w:val="00201EB2"/>
    <w:rsid w:val="0020377E"/>
    <w:rsid w:val="00206B33"/>
    <w:rsid w:val="00210E82"/>
    <w:rsid w:val="002332B4"/>
    <w:rsid w:val="0023582A"/>
    <w:rsid w:val="00235BCE"/>
    <w:rsid w:val="00236FC4"/>
    <w:rsid w:val="00237DF8"/>
    <w:rsid w:val="0024074F"/>
    <w:rsid w:val="00242245"/>
    <w:rsid w:val="00243DAF"/>
    <w:rsid w:val="00243FA3"/>
    <w:rsid w:val="002529E5"/>
    <w:rsid w:val="00257684"/>
    <w:rsid w:val="00260496"/>
    <w:rsid w:val="00260860"/>
    <w:rsid w:val="00262EDD"/>
    <w:rsid w:val="00263B16"/>
    <w:rsid w:val="00266BE6"/>
    <w:rsid w:val="00273D72"/>
    <w:rsid w:val="002748D8"/>
    <w:rsid w:val="00274E29"/>
    <w:rsid w:val="002760A1"/>
    <w:rsid w:val="00282338"/>
    <w:rsid w:val="0028245E"/>
    <w:rsid w:val="00283F48"/>
    <w:rsid w:val="00284B45"/>
    <w:rsid w:val="00285536"/>
    <w:rsid w:val="0028676B"/>
    <w:rsid w:val="00290E10"/>
    <w:rsid w:val="00294900"/>
    <w:rsid w:val="002B04B4"/>
    <w:rsid w:val="002B1357"/>
    <w:rsid w:val="002B37A4"/>
    <w:rsid w:val="002B3C1B"/>
    <w:rsid w:val="002C0E26"/>
    <w:rsid w:val="002C363F"/>
    <w:rsid w:val="002C7F71"/>
    <w:rsid w:val="002D2A19"/>
    <w:rsid w:val="002D2CA4"/>
    <w:rsid w:val="002D2DD8"/>
    <w:rsid w:val="002D4548"/>
    <w:rsid w:val="002D4C40"/>
    <w:rsid w:val="002E035B"/>
    <w:rsid w:val="002E3FD2"/>
    <w:rsid w:val="002E62AD"/>
    <w:rsid w:val="002F0A77"/>
    <w:rsid w:val="002F1658"/>
    <w:rsid w:val="002F28E7"/>
    <w:rsid w:val="002F29D8"/>
    <w:rsid w:val="002F30F9"/>
    <w:rsid w:val="002F5341"/>
    <w:rsid w:val="003027BF"/>
    <w:rsid w:val="00303F47"/>
    <w:rsid w:val="00306289"/>
    <w:rsid w:val="00312DEC"/>
    <w:rsid w:val="003135E6"/>
    <w:rsid w:val="003137B7"/>
    <w:rsid w:val="00317ABB"/>
    <w:rsid w:val="003270C9"/>
    <w:rsid w:val="00331A72"/>
    <w:rsid w:val="00342554"/>
    <w:rsid w:val="00342F1F"/>
    <w:rsid w:val="003468CC"/>
    <w:rsid w:val="00352E1B"/>
    <w:rsid w:val="00353416"/>
    <w:rsid w:val="00360C63"/>
    <w:rsid w:val="00360D26"/>
    <w:rsid w:val="00366688"/>
    <w:rsid w:val="003668C1"/>
    <w:rsid w:val="00367137"/>
    <w:rsid w:val="00370459"/>
    <w:rsid w:val="003800C9"/>
    <w:rsid w:val="00380775"/>
    <w:rsid w:val="00381498"/>
    <w:rsid w:val="00381524"/>
    <w:rsid w:val="00382E22"/>
    <w:rsid w:val="00385153"/>
    <w:rsid w:val="0038691E"/>
    <w:rsid w:val="00392762"/>
    <w:rsid w:val="003A0F06"/>
    <w:rsid w:val="003A21FB"/>
    <w:rsid w:val="003A3499"/>
    <w:rsid w:val="003A59E7"/>
    <w:rsid w:val="003A5AD2"/>
    <w:rsid w:val="003B0B1B"/>
    <w:rsid w:val="003B2154"/>
    <w:rsid w:val="003B5221"/>
    <w:rsid w:val="003B63BA"/>
    <w:rsid w:val="003C0721"/>
    <w:rsid w:val="003C1762"/>
    <w:rsid w:val="003C295B"/>
    <w:rsid w:val="003C7C35"/>
    <w:rsid w:val="003D20CE"/>
    <w:rsid w:val="003D3643"/>
    <w:rsid w:val="003D6551"/>
    <w:rsid w:val="003D7243"/>
    <w:rsid w:val="003E01D2"/>
    <w:rsid w:val="003E2884"/>
    <w:rsid w:val="003F2294"/>
    <w:rsid w:val="003F4CE9"/>
    <w:rsid w:val="00402567"/>
    <w:rsid w:val="00402B1F"/>
    <w:rsid w:val="00406127"/>
    <w:rsid w:val="004112FB"/>
    <w:rsid w:val="00411712"/>
    <w:rsid w:val="00417DE6"/>
    <w:rsid w:val="004225CB"/>
    <w:rsid w:val="00424A49"/>
    <w:rsid w:val="00426476"/>
    <w:rsid w:val="004264D6"/>
    <w:rsid w:val="00426FA1"/>
    <w:rsid w:val="0044239F"/>
    <w:rsid w:val="00446D34"/>
    <w:rsid w:val="00451953"/>
    <w:rsid w:val="00456E00"/>
    <w:rsid w:val="004616E0"/>
    <w:rsid w:val="004628AA"/>
    <w:rsid w:val="00463520"/>
    <w:rsid w:val="00465CF0"/>
    <w:rsid w:val="00466A1B"/>
    <w:rsid w:val="00472137"/>
    <w:rsid w:val="00473829"/>
    <w:rsid w:val="0047791B"/>
    <w:rsid w:val="00481091"/>
    <w:rsid w:val="004931B7"/>
    <w:rsid w:val="00494062"/>
    <w:rsid w:val="004949F2"/>
    <w:rsid w:val="00494BF9"/>
    <w:rsid w:val="00495ABF"/>
    <w:rsid w:val="004A2E89"/>
    <w:rsid w:val="004B1C9C"/>
    <w:rsid w:val="004B2535"/>
    <w:rsid w:val="004C029B"/>
    <w:rsid w:val="004C237D"/>
    <w:rsid w:val="004C2C6C"/>
    <w:rsid w:val="004D33BE"/>
    <w:rsid w:val="004D5B64"/>
    <w:rsid w:val="004D5D60"/>
    <w:rsid w:val="004E19F4"/>
    <w:rsid w:val="004E2F0B"/>
    <w:rsid w:val="004E36D9"/>
    <w:rsid w:val="004E5AF6"/>
    <w:rsid w:val="004F1887"/>
    <w:rsid w:val="004F1DE4"/>
    <w:rsid w:val="00506E8E"/>
    <w:rsid w:val="00512194"/>
    <w:rsid w:val="00514CC7"/>
    <w:rsid w:val="005179AD"/>
    <w:rsid w:val="00524070"/>
    <w:rsid w:val="00532B1A"/>
    <w:rsid w:val="0053361B"/>
    <w:rsid w:val="00533D8C"/>
    <w:rsid w:val="00540317"/>
    <w:rsid w:val="005410F0"/>
    <w:rsid w:val="00542A58"/>
    <w:rsid w:val="00546508"/>
    <w:rsid w:val="0054662D"/>
    <w:rsid w:val="00553B90"/>
    <w:rsid w:val="00553C94"/>
    <w:rsid w:val="00554499"/>
    <w:rsid w:val="00557C83"/>
    <w:rsid w:val="00560D0D"/>
    <w:rsid w:val="005632F6"/>
    <w:rsid w:val="00571548"/>
    <w:rsid w:val="005716EB"/>
    <w:rsid w:val="005723BD"/>
    <w:rsid w:val="00573AEF"/>
    <w:rsid w:val="00574B1B"/>
    <w:rsid w:val="00577576"/>
    <w:rsid w:val="00582E31"/>
    <w:rsid w:val="00583FDB"/>
    <w:rsid w:val="00587B15"/>
    <w:rsid w:val="00590215"/>
    <w:rsid w:val="00590D65"/>
    <w:rsid w:val="00591EE7"/>
    <w:rsid w:val="00593B6E"/>
    <w:rsid w:val="005942D2"/>
    <w:rsid w:val="00594F85"/>
    <w:rsid w:val="005979CE"/>
    <w:rsid w:val="005A146F"/>
    <w:rsid w:val="005A1F65"/>
    <w:rsid w:val="005A2E1A"/>
    <w:rsid w:val="005A6472"/>
    <w:rsid w:val="005A6B35"/>
    <w:rsid w:val="005A6CFC"/>
    <w:rsid w:val="005C0D35"/>
    <w:rsid w:val="005C4E88"/>
    <w:rsid w:val="005D1C8A"/>
    <w:rsid w:val="005D21EC"/>
    <w:rsid w:val="005E10A9"/>
    <w:rsid w:val="005E5D95"/>
    <w:rsid w:val="005E7168"/>
    <w:rsid w:val="005E7637"/>
    <w:rsid w:val="005F13FC"/>
    <w:rsid w:val="005F2085"/>
    <w:rsid w:val="005F337B"/>
    <w:rsid w:val="005F36D7"/>
    <w:rsid w:val="005F4799"/>
    <w:rsid w:val="00601264"/>
    <w:rsid w:val="006019F1"/>
    <w:rsid w:val="00605195"/>
    <w:rsid w:val="00605805"/>
    <w:rsid w:val="006078DE"/>
    <w:rsid w:val="00611C4F"/>
    <w:rsid w:val="006127C2"/>
    <w:rsid w:val="00615A74"/>
    <w:rsid w:val="006263F9"/>
    <w:rsid w:val="0062648B"/>
    <w:rsid w:val="0063093F"/>
    <w:rsid w:val="00630F92"/>
    <w:rsid w:val="00631B27"/>
    <w:rsid w:val="00634EDD"/>
    <w:rsid w:val="0063592A"/>
    <w:rsid w:val="00637742"/>
    <w:rsid w:val="0064425D"/>
    <w:rsid w:val="00654198"/>
    <w:rsid w:val="00655052"/>
    <w:rsid w:val="006623E3"/>
    <w:rsid w:val="006627D7"/>
    <w:rsid w:val="00674B73"/>
    <w:rsid w:val="00674B9C"/>
    <w:rsid w:val="006779DF"/>
    <w:rsid w:val="00677F16"/>
    <w:rsid w:val="006851CD"/>
    <w:rsid w:val="00685FEA"/>
    <w:rsid w:val="006951BB"/>
    <w:rsid w:val="0069566F"/>
    <w:rsid w:val="00695BBE"/>
    <w:rsid w:val="006973C4"/>
    <w:rsid w:val="006A15A9"/>
    <w:rsid w:val="006A2505"/>
    <w:rsid w:val="006A3A55"/>
    <w:rsid w:val="006A4CA0"/>
    <w:rsid w:val="006B0453"/>
    <w:rsid w:val="006B5653"/>
    <w:rsid w:val="006B7F51"/>
    <w:rsid w:val="006C0663"/>
    <w:rsid w:val="006D0D45"/>
    <w:rsid w:val="006E0B20"/>
    <w:rsid w:val="006E2D30"/>
    <w:rsid w:val="006E4429"/>
    <w:rsid w:val="006F6485"/>
    <w:rsid w:val="006F7FF5"/>
    <w:rsid w:val="0070050A"/>
    <w:rsid w:val="00701364"/>
    <w:rsid w:val="0071052B"/>
    <w:rsid w:val="0072189B"/>
    <w:rsid w:val="00726779"/>
    <w:rsid w:val="007269BC"/>
    <w:rsid w:val="00731878"/>
    <w:rsid w:val="0073548F"/>
    <w:rsid w:val="007365A7"/>
    <w:rsid w:val="00736C2C"/>
    <w:rsid w:val="00742EB6"/>
    <w:rsid w:val="00743148"/>
    <w:rsid w:val="007431E0"/>
    <w:rsid w:val="007447C6"/>
    <w:rsid w:val="00745120"/>
    <w:rsid w:val="00745425"/>
    <w:rsid w:val="007456D3"/>
    <w:rsid w:val="00745753"/>
    <w:rsid w:val="007476F3"/>
    <w:rsid w:val="007506AE"/>
    <w:rsid w:val="00751B04"/>
    <w:rsid w:val="00755880"/>
    <w:rsid w:val="00755D5B"/>
    <w:rsid w:val="00756FC0"/>
    <w:rsid w:val="007573B1"/>
    <w:rsid w:val="00760119"/>
    <w:rsid w:val="00761DB2"/>
    <w:rsid w:val="00762ADB"/>
    <w:rsid w:val="00762D81"/>
    <w:rsid w:val="007636D4"/>
    <w:rsid w:val="00765C32"/>
    <w:rsid w:val="00766D4D"/>
    <w:rsid w:val="00767BFE"/>
    <w:rsid w:val="00770B2D"/>
    <w:rsid w:val="00774610"/>
    <w:rsid w:val="0077593B"/>
    <w:rsid w:val="00776502"/>
    <w:rsid w:val="00776ED8"/>
    <w:rsid w:val="007806FC"/>
    <w:rsid w:val="007817C1"/>
    <w:rsid w:val="00782573"/>
    <w:rsid w:val="00787A10"/>
    <w:rsid w:val="00791F80"/>
    <w:rsid w:val="00792F84"/>
    <w:rsid w:val="007935BB"/>
    <w:rsid w:val="00793A25"/>
    <w:rsid w:val="00796043"/>
    <w:rsid w:val="007A6ACB"/>
    <w:rsid w:val="007A7F3D"/>
    <w:rsid w:val="007C08F8"/>
    <w:rsid w:val="007C307A"/>
    <w:rsid w:val="007C52B8"/>
    <w:rsid w:val="007D5116"/>
    <w:rsid w:val="007D7BCA"/>
    <w:rsid w:val="007E06C4"/>
    <w:rsid w:val="007E0CB3"/>
    <w:rsid w:val="007E0FB7"/>
    <w:rsid w:val="007E299A"/>
    <w:rsid w:val="007E2A0E"/>
    <w:rsid w:val="007E5F44"/>
    <w:rsid w:val="007F09B9"/>
    <w:rsid w:val="007F2446"/>
    <w:rsid w:val="007F5F29"/>
    <w:rsid w:val="007F6A14"/>
    <w:rsid w:val="007F720B"/>
    <w:rsid w:val="00806546"/>
    <w:rsid w:val="00813331"/>
    <w:rsid w:val="00817D94"/>
    <w:rsid w:val="00821AC6"/>
    <w:rsid w:val="00825E64"/>
    <w:rsid w:val="00827293"/>
    <w:rsid w:val="0083207D"/>
    <w:rsid w:val="00832CC9"/>
    <w:rsid w:val="008350CF"/>
    <w:rsid w:val="00835CB6"/>
    <w:rsid w:val="00842224"/>
    <w:rsid w:val="00850556"/>
    <w:rsid w:val="008537D1"/>
    <w:rsid w:val="0085496A"/>
    <w:rsid w:val="0086357D"/>
    <w:rsid w:val="00864C8F"/>
    <w:rsid w:val="00866D01"/>
    <w:rsid w:val="008739F2"/>
    <w:rsid w:val="00875441"/>
    <w:rsid w:val="0087630F"/>
    <w:rsid w:val="00876666"/>
    <w:rsid w:val="00881592"/>
    <w:rsid w:val="00881603"/>
    <w:rsid w:val="00891D80"/>
    <w:rsid w:val="008960C9"/>
    <w:rsid w:val="008A16D0"/>
    <w:rsid w:val="008A1AE2"/>
    <w:rsid w:val="008A4409"/>
    <w:rsid w:val="008A530E"/>
    <w:rsid w:val="008A7B59"/>
    <w:rsid w:val="008B66B9"/>
    <w:rsid w:val="008B6D9A"/>
    <w:rsid w:val="008B758C"/>
    <w:rsid w:val="008B7BE3"/>
    <w:rsid w:val="008C2194"/>
    <w:rsid w:val="008C30A7"/>
    <w:rsid w:val="008C5CFA"/>
    <w:rsid w:val="008C5D8B"/>
    <w:rsid w:val="008D5906"/>
    <w:rsid w:val="008D61EC"/>
    <w:rsid w:val="008D7D3E"/>
    <w:rsid w:val="008E10DE"/>
    <w:rsid w:val="008E4166"/>
    <w:rsid w:val="008F1A57"/>
    <w:rsid w:val="008F32E5"/>
    <w:rsid w:val="00900A6F"/>
    <w:rsid w:val="00904B4D"/>
    <w:rsid w:val="00905191"/>
    <w:rsid w:val="00911005"/>
    <w:rsid w:val="00913DC1"/>
    <w:rsid w:val="00913E2C"/>
    <w:rsid w:val="0091527A"/>
    <w:rsid w:val="00921CE0"/>
    <w:rsid w:val="0093067B"/>
    <w:rsid w:val="00930A57"/>
    <w:rsid w:val="00937798"/>
    <w:rsid w:val="009403B5"/>
    <w:rsid w:val="0094161B"/>
    <w:rsid w:val="0095072A"/>
    <w:rsid w:val="00950D44"/>
    <w:rsid w:val="009515E9"/>
    <w:rsid w:val="00953640"/>
    <w:rsid w:val="00955FC3"/>
    <w:rsid w:val="00956811"/>
    <w:rsid w:val="0095716A"/>
    <w:rsid w:val="0096122B"/>
    <w:rsid w:val="009614A0"/>
    <w:rsid w:val="009619E5"/>
    <w:rsid w:val="00962284"/>
    <w:rsid w:val="00965C3E"/>
    <w:rsid w:val="00966857"/>
    <w:rsid w:val="00973060"/>
    <w:rsid w:val="00973519"/>
    <w:rsid w:val="0097750A"/>
    <w:rsid w:val="0098113A"/>
    <w:rsid w:val="009833ED"/>
    <w:rsid w:val="00985D5B"/>
    <w:rsid w:val="009A41ED"/>
    <w:rsid w:val="009A47C2"/>
    <w:rsid w:val="009A60A9"/>
    <w:rsid w:val="009A6408"/>
    <w:rsid w:val="009B0A85"/>
    <w:rsid w:val="009B43C0"/>
    <w:rsid w:val="009B43EF"/>
    <w:rsid w:val="009B4814"/>
    <w:rsid w:val="009B5182"/>
    <w:rsid w:val="009B52EF"/>
    <w:rsid w:val="009B5A51"/>
    <w:rsid w:val="009C0CBA"/>
    <w:rsid w:val="009C3C1E"/>
    <w:rsid w:val="009D62EA"/>
    <w:rsid w:val="009D6F63"/>
    <w:rsid w:val="009E375A"/>
    <w:rsid w:val="009E514E"/>
    <w:rsid w:val="009F4DB8"/>
    <w:rsid w:val="00A00AA3"/>
    <w:rsid w:val="00A02280"/>
    <w:rsid w:val="00A0355A"/>
    <w:rsid w:val="00A05CE8"/>
    <w:rsid w:val="00A05D31"/>
    <w:rsid w:val="00A06001"/>
    <w:rsid w:val="00A07580"/>
    <w:rsid w:val="00A16836"/>
    <w:rsid w:val="00A16AC1"/>
    <w:rsid w:val="00A22B75"/>
    <w:rsid w:val="00A24762"/>
    <w:rsid w:val="00A247A1"/>
    <w:rsid w:val="00A277D5"/>
    <w:rsid w:val="00A352DF"/>
    <w:rsid w:val="00A37EAC"/>
    <w:rsid w:val="00A40241"/>
    <w:rsid w:val="00A415C6"/>
    <w:rsid w:val="00A41A70"/>
    <w:rsid w:val="00A449ED"/>
    <w:rsid w:val="00A5452C"/>
    <w:rsid w:val="00A5706B"/>
    <w:rsid w:val="00A57D9A"/>
    <w:rsid w:val="00A60731"/>
    <w:rsid w:val="00A61CBA"/>
    <w:rsid w:val="00A658A2"/>
    <w:rsid w:val="00A66638"/>
    <w:rsid w:val="00A67729"/>
    <w:rsid w:val="00A7103C"/>
    <w:rsid w:val="00A73042"/>
    <w:rsid w:val="00A73500"/>
    <w:rsid w:val="00A75420"/>
    <w:rsid w:val="00A818DB"/>
    <w:rsid w:val="00A8373F"/>
    <w:rsid w:val="00A85C54"/>
    <w:rsid w:val="00A91CEF"/>
    <w:rsid w:val="00A932F8"/>
    <w:rsid w:val="00A96B24"/>
    <w:rsid w:val="00A979E6"/>
    <w:rsid w:val="00AA335C"/>
    <w:rsid w:val="00AA3752"/>
    <w:rsid w:val="00AA3D98"/>
    <w:rsid w:val="00AA5F70"/>
    <w:rsid w:val="00AA7743"/>
    <w:rsid w:val="00AB164F"/>
    <w:rsid w:val="00AB3943"/>
    <w:rsid w:val="00AB5B38"/>
    <w:rsid w:val="00AB5D9E"/>
    <w:rsid w:val="00AB6D9D"/>
    <w:rsid w:val="00AC0245"/>
    <w:rsid w:val="00AC08A1"/>
    <w:rsid w:val="00AC0DDE"/>
    <w:rsid w:val="00AC214B"/>
    <w:rsid w:val="00AC3E20"/>
    <w:rsid w:val="00AC690C"/>
    <w:rsid w:val="00AC7BCF"/>
    <w:rsid w:val="00AD2ABD"/>
    <w:rsid w:val="00AD41B4"/>
    <w:rsid w:val="00AE1A7D"/>
    <w:rsid w:val="00AF74BF"/>
    <w:rsid w:val="00B00B48"/>
    <w:rsid w:val="00B0214D"/>
    <w:rsid w:val="00B0540E"/>
    <w:rsid w:val="00B07946"/>
    <w:rsid w:val="00B12DEA"/>
    <w:rsid w:val="00B151B7"/>
    <w:rsid w:val="00B17778"/>
    <w:rsid w:val="00B23A3C"/>
    <w:rsid w:val="00B273A0"/>
    <w:rsid w:val="00B464FA"/>
    <w:rsid w:val="00B47194"/>
    <w:rsid w:val="00B53C58"/>
    <w:rsid w:val="00B5767A"/>
    <w:rsid w:val="00B61D50"/>
    <w:rsid w:val="00B61D87"/>
    <w:rsid w:val="00B63686"/>
    <w:rsid w:val="00B650A9"/>
    <w:rsid w:val="00B65843"/>
    <w:rsid w:val="00B659DC"/>
    <w:rsid w:val="00B65DB4"/>
    <w:rsid w:val="00B745B3"/>
    <w:rsid w:val="00B75961"/>
    <w:rsid w:val="00B763D2"/>
    <w:rsid w:val="00B76F0B"/>
    <w:rsid w:val="00B842E7"/>
    <w:rsid w:val="00B97430"/>
    <w:rsid w:val="00BA2F4B"/>
    <w:rsid w:val="00BA3C24"/>
    <w:rsid w:val="00BB46B0"/>
    <w:rsid w:val="00BB480D"/>
    <w:rsid w:val="00BB72EB"/>
    <w:rsid w:val="00BC2C0C"/>
    <w:rsid w:val="00BC2F39"/>
    <w:rsid w:val="00BC2F85"/>
    <w:rsid w:val="00BC4F00"/>
    <w:rsid w:val="00BC53F8"/>
    <w:rsid w:val="00BC68DC"/>
    <w:rsid w:val="00BC79EF"/>
    <w:rsid w:val="00BD59B8"/>
    <w:rsid w:val="00BE0FDE"/>
    <w:rsid w:val="00BE602B"/>
    <w:rsid w:val="00BE6EE9"/>
    <w:rsid w:val="00BF1796"/>
    <w:rsid w:val="00BF3990"/>
    <w:rsid w:val="00BF7CA1"/>
    <w:rsid w:val="00C02945"/>
    <w:rsid w:val="00C10641"/>
    <w:rsid w:val="00C110FD"/>
    <w:rsid w:val="00C20889"/>
    <w:rsid w:val="00C2275D"/>
    <w:rsid w:val="00C230A3"/>
    <w:rsid w:val="00C268E7"/>
    <w:rsid w:val="00C26F36"/>
    <w:rsid w:val="00C3484A"/>
    <w:rsid w:val="00C34BB0"/>
    <w:rsid w:val="00C4302A"/>
    <w:rsid w:val="00C516A7"/>
    <w:rsid w:val="00C53AC6"/>
    <w:rsid w:val="00C53DB2"/>
    <w:rsid w:val="00C60E55"/>
    <w:rsid w:val="00C6260A"/>
    <w:rsid w:val="00C633B6"/>
    <w:rsid w:val="00C63B24"/>
    <w:rsid w:val="00C66134"/>
    <w:rsid w:val="00C710D2"/>
    <w:rsid w:val="00C768FD"/>
    <w:rsid w:val="00C808A7"/>
    <w:rsid w:val="00C80A64"/>
    <w:rsid w:val="00C85E5F"/>
    <w:rsid w:val="00C869CD"/>
    <w:rsid w:val="00C86A69"/>
    <w:rsid w:val="00C92141"/>
    <w:rsid w:val="00C9320C"/>
    <w:rsid w:val="00C969B4"/>
    <w:rsid w:val="00CA1F44"/>
    <w:rsid w:val="00CA24E0"/>
    <w:rsid w:val="00CA4556"/>
    <w:rsid w:val="00CA7017"/>
    <w:rsid w:val="00CB2FB5"/>
    <w:rsid w:val="00CB4DC8"/>
    <w:rsid w:val="00CB7606"/>
    <w:rsid w:val="00CC202E"/>
    <w:rsid w:val="00CC3BF1"/>
    <w:rsid w:val="00CC430A"/>
    <w:rsid w:val="00CD2BAA"/>
    <w:rsid w:val="00CD5612"/>
    <w:rsid w:val="00CE04FE"/>
    <w:rsid w:val="00CE3DB6"/>
    <w:rsid w:val="00CE4D57"/>
    <w:rsid w:val="00CE61B7"/>
    <w:rsid w:val="00CE6826"/>
    <w:rsid w:val="00CE789C"/>
    <w:rsid w:val="00CF1B55"/>
    <w:rsid w:val="00D00CC8"/>
    <w:rsid w:val="00D01928"/>
    <w:rsid w:val="00D02038"/>
    <w:rsid w:val="00D041B6"/>
    <w:rsid w:val="00D1344A"/>
    <w:rsid w:val="00D160F2"/>
    <w:rsid w:val="00D317B2"/>
    <w:rsid w:val="00D33281"/>
    <w:rsid w:val="00D33381"/>
    <w:rsid w:val="00D35A4D"/>
    <w:rsid w:val="00D37229"/>
    <w:rsid w:val="00D3735B"/>
    <w:rsid w:val="00D42538"/>
    <w:rsid w:val="00D47A41"/>
    <w:rsid w:val="00D47B71"/>
    <w:rsid w:val="00D47CED"/>
    <w:rsid w:val="00D57771"/>
    <w:rsid w:val="00D63120"/>
    <w:rsid w:val="00D65673"/>
    <w:rsid w:val="00D723EF"/>
    <w:rsid w:val="00D748CC"/>
    <w:rsid w:val="00D74E87"/>
    <w:rsid w:val="00D77E5F"/>
    <w:rsid w:val="00D917F1"/>
    <w:rsid w:val="00D94AEE"/>
    <w:rsid w:val="00DA0213"/>
    <w:rsid w:val="00DA41AD"/>
    <w:rsid w:val="00DA4BC2"/>
    <w:rsid w:val="00DA60B5"/>
    <w:rsid w:val="00DA62E9"/>
    <w:rsid w:val="00DB126E"/>
    <w:rsid w:val="00DB4FF7"/>
    <w:rsid w:val="00DB6B6D"/>
    <w:rsid w:val="00DC1520"/>
    <w:rsid w:val="00DC2238"/>
    <w:rsid w:val="00DC5040"/>
    <w:rsid w:val="00DD0872"/>
    <w:rsid w:val="00DD17B9"/>
    <w:rsid w:val="00DD72D9"/>
    <w:rsid w:val="00DE23AE"/>
    <w:rsid w:val="00DE496F"/>
    <w:rsid w:val="00DE4C6A"/>
    <w:rsid w:val="00DE6596"/>
    <w:rsid w:val="00DE6627"/>
    <w:rsid w:val="00DE7D0B"/>
    <w:rsid w:val="00DE7DBE"/>
    <w:rsid w:val="00DF2677"/>
    <w:rsid w:val="00DF3248"/>
    <w:rsid w:val="00DF3AB3"/>
    <w:rsid w:val="00DF5378"/>
    <w:rsid w:val="00E0089E"/>
    <w:rsid w:val="00E022A8"/>
    <w:rsid w:val="00E02B50"/>
    <w:rsid w:val="00E1153D"/>
    <w:rsid w:val="00E14740"/>
    <w:rsid w:val="00E1627A"/>
    <w:rsid w:val="00E210DD"/>
    <w:rsid w:val="00E3088D"/>
    <w:rsid w:val="00E30E20"/>
    <w:rsid w:val="00E32D81"/>
    <w:rsid w:val="00E347B9"/>
    <w:rsid w:val="00E371C9"/>
    <w:rsid w:val="00E40358"/>
    <w:rsid w:val="00E41DB4"/>
    <w:rsid w:val="00E42C55"/>
    <w:rsid w:val="00E43053"/>
    <w:rsid w:val="00E47A7F"/>
    <w:rsid w:val="00E57096"/>
    <w:rsid w:val="00E6277F"/>
    <w:rsid w:val="00E648A1"/>
    <w:rsid w:val="00E7240C"/>
    <w:rsid w:val="00E7647B"/>
    <w:rsid w:val="00E92A93"/>
    <w:rsid w:val="00E9482E"/>
    <w:rsid w:val="00E96649"/>
    <w:rsid w:val="00E9769E"/>
    <w:rsid w:val="00E97BF8"/>
    <w:rsid w:val="00EA4A74"/>
    <w:rsid w:val="00EA6C53"/>
    <w:rsid w:val="00EB0D59"/>
    <w:rsid w:val="00EB16BC"/>
    <w:rsid w:val="00EB27BC"/>
    <w:rsid w:val="00EB5D17"/>
    <w:rsid w:val="00EB6285"/>
    <w:rsid w:val="00EC165D"/>
    <w:rsid w:val="00EC16CC"/>
    <w:rsid w:val="00ED1384"/>
    <w:rsid w:val="00ED16F6"/>
    <w:rsid w:val="00ED2262"/>
    <w:rsid w:val="00ED3193"/>
    <w:rsid w:val="00ED7E26"/>
    <w:rsid w:val="00ED7FD2"/>
    <w:rsid w:val="00EE081F"/>
    <w:rsid w:val="00EE083B"/>
    <w:rsid w:val="00EE239B"/>
    <w:rsid w:val="00EE5198"/>
    <w:rsid w:val="00EE79B2"/>
    <w:rsid w:val="00EF1B70"/>
    <w:rsid w:val="00EF1F40"/>
    <w:rsid w:val="00EF219D"/>
    <w:rsid w:val="00EF39B1"/>
    <w:rsid w:val="00EF4A6A"/>
    <w:rsid w:val="00EF5E3F"/>
    <w:rsid w:val="00F059EE"/>
    <w:rsid w:val="00F10459"/>
    <w:rsid w:val="00F105BE"/>
    <w:rsid w:val="00F1085F"/>
    <w:rsid w:val="00F114D1"/>
    <w:rsid w:val="00F12A2F"/>
    <w:rsid w:val="00F13300"/>
    <w:rsid w:val="00F15323"/>
    <w:rsid w:val="00F21D36"/>
    <w:rsid w:val="00F22286"/>
    <w:rsid w:val="00F24F78"/>
    <w:rsid w:val="00F30079"/>
    <w:rsid w:val="00F30929"/>
    <w:rsid w:val="00F33AAC"/>
    <w:rsid w:val="00F356E3"/>
    <w:rsid w:val="00F36514"/>
    <w:rsid w:val="00F36996"/>
    <w:rsid w:val="00F37FA0"/>
    <w:rsid w:val="00F41E92"/>
    <w:rsid w:val="00F43A01"/>
    <w:rsid w:val="00F501E1"/>
    <w:rsid w:val="00F528EF"/>
    <w:rsid w:val="00F63486"/>
    <w:rsid w:val="00F64284"/>
    <w:rsid w:val="00F67430"/>
    <w:rsid w:val="00F71CA2"/>
    <w:rsid w:val="00F72802"/>
    <w:rsid w:val="00F72E1C"/>
    <w:rsid w:val="00F73487"/>
    <w:rsid w:val="00F736BF"/>
    <w:rsid w:val="00F7394F"/>
    <w:rsid w:val="00F7607E"/>
    <w:rsid w:val="00F7730B"/>
    <w:rsid w:val="00F81FDF"/>
    <w:rsid w:val="00F84A54"/>
    <w:rsid w:val="00F86F9C"/>
    <w:rsid w:val="00F87473"/>
    <w:rsid w:val="00F96649"/>
    <w:rsid w:val="00F97F5C"/>
    <w:rsid w:val="00F97FAE"/>
    <w:rsid w:val="00FA1A18"/>
    <w:rsid w:val="00FA3AAE"/>
    <w:rsid w:val="00FB280D"/>
    <w:rsid w:val="00FB5C50"/>
    <w:rsid w:val="00FB68AB"/>
    <w:rsid w:val="00FB6DF6"/>
    <w:rsid w:val="00FC2102"/>
    <w:rsid w:val="00FC76A0"/>
    <w:rsid w:val="00FD0DD7"/>
    <w:rsid w:val="00FD173A"/>
    <w:rsid w:val="00FD36A8"/>
    <w:rsid w:val="00FD5DD2"/>
    <w:rsid w:val="00FE083F"/>
    <w:rsid w:val="00FE18A8"/>
    <w:rsid w:val="00FE1FAF"/>
    <w:rsid w:val="00FE6F0F"/>
    <w:rsid w:val="00FF1D62"/>
    <w:rsid w:val="00FF2EAD"/>
    <w:rsid w:val="026779BA"/>
    <w:rsid w:val="03DC73AA"/>
    <w:rsid w:val="05995006"/>
    <w:rsid w:val="06B74D36"/>
    <w:rsid w:val="08391D58"/>
    <w:rsid w:val="0957745A"/>
    <w:rsid w:val="0BCD403B"/>
    <w:rsid w:val="0BE04094"/>
    <w:rsid w:val="0C211296"/>
    <w:rsid w:val="0C464EDB"/>
    <w:rsid w:val="0E575558"/>
    <w:rsid w:val="10CA1840"/>
    <w:rsid w:val="10F1501F"/>
    <w:rsid w:val="157A1D66"/>
    <w:rsid w:val="18B3120C"/>
    <w:rsid w:val="19841A93"/>
    <w:rsid w:val="1D4B3D09"/>
    <w:rsid w:val="23476D20"/>
    <w:rsid w:val="23DC24ED"/>
    <w:rsid w:val="24E81BC5"/>
    <w:rsid w:val="257D4C7B"/>
    <w:rsid w:val="25897AC4"/>
    <w:rsid w:val="27682AD1"/>
    <w:rsid w:val="29F30D59"/>
    <w:rsid w:val="2D603FCA"/>
    <w:rsid w:val="2EDB2186"/>
    <w:rsid w:val="2FCF2577"/>
    <w:rsid w:val="31EA7E07"/>
    <w:rsid w:val="36D97018"/>
    <w:rsid w:val="38073635"/>
    <w:rsid w:val="380A05F1"/>
    <w:rsid w:val="3E391C30"/>
    <w:rsid w:val="42DC77DF"/>
    <w:rsid w:val="46337542"/>
    <w:rsid w:val="47BE2CBA"/>
    <w:rsid w:val="47DB5F19"/>
    <w:rsid w:val="48825F81"/>
    <w:rsid w:val="4B6E60E6"/>
    <w:rsid w:val="4ED8054C"/>
    <w:rsid w:val="4FE50707"/>
    <w:rsid w:val="500374D1"/>
    <w:rsid w:val="50833C02"/>
    <w:rsid w:val="53894F6C"/>
    <w:rsid w:val="56206DD9"/>
    <w:rsid w:val="56BB51F7"/>
    <w:rsid w:val="5C612B51"/>
    <w:rsid w:val="5D7C348F"/>
    <w:rsid w:val="5DD40BD5"/>
    <w:rsid w:val="5EEB0497"/>
    <w:rsid w:val="5F3439F6"/>
    <w:rsid w:val="602360F4"/>
    <w:rsid w:val="62D17DFF"/>
    <w:rsid w:val="67806AF4"/>
    <w:rsid w:val="688B086D"/>
    <w:rsid w:val="699B6A4B"/>
    <w:rsid w:val="69A04061"/>
    <w:rsid w:val="6CB0280D"/>
    <w:rsid w:val="6E722B88"/>
    <w:rsid w:val="6F094457"/>
    <w:rsid w:val="6F0C6A0E"/>
    <w:rsid w:val="6F1459B7"/>
    <w:rsid w:val="71067B98"/>
    <w:rsid w:val="733938C6"/>
    <w:rsid w:val="76950066"/>
    <w:rsid w:val="7C074DA3"/>
    <w:rsid w:val="7C3C7F29"/>
    <w:rsid w:val="7D231EC9"/>
    <w:rsid w:val="7D692B79"/>
    <w:rsid w:val="7E801EC1"/>
    <w:rsid w:val="7EFF7A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qFormat="1" w:uiPriority="99" w:name="index heading"/>
    <w:lsdException w:qFormat="1" w:uiPriority="35" w:name="caption"/>
    <w:lsdException w:qFormat="1" w:uiPriority="99" w:name="table of figures"/>
    <w:lsdException w:qFormat="1" w:uiPriority="99" w:name="envelope address"/>
    <w:lsdException w:qFormat="1"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10" w:semiHidden="0" w:name="Title"/>
    <w:lsdException w:qFormat="1" w:uiPriority="99" w:name="Closing"/>
    <w:lsdException w:qFormat="1" w:uiPriority="99" w:name="Signature"/>
    <w:lsdException w:qFormat="1" w:uiPriority="1" w:name="Default Paragraph Font"/>
    <w:lsdException w:qFormat="1" w:uiPriority="0" w:semiHidden="0"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iPriority="99" w:semiHidden="0" w:name="Hyperlink"/>
    <w:lsdException w:uiPriority="99" w:name="FollowedHyperlink"/>
    <w:lsdException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94"/>
    <w:qFormat/>
    <w:uiPriority w:val="9"/>
    <w:pPr>
      <w:keepNext/>
      <w:keepLines/>
      <w:numPr>
        <w:ilvl w:val="0"/>
        <w:numId w:val="0"/>
      </w:numPr>
      <w:ind w:firstLine="198" w:firstLineChars="0"/>
      <w:jc w:val="left"/>
      <w:outlineLvl w:val="0"/>
    </w:pPr>
    <w:rPr>
      <w:rFonts w:ascii="Times New Roman" w:hAnsi="Times New Roman" w:eastAsia="宋体"/>
      <w:b/>
      <w:bCs/>
      <w:kern w:val="44"/>
      <w:sz w:val="28"/>
      <w:szCs w:val="44"/>
    </w:rPr>
  </w:style>
  <w:style w:type="paragraph" w:styleId="4">
    <w:name w:val="heading 2"/>
    <w:basedOn w:val="1"/>
    <w:next w:val="1"/>
    <w:link w:val="95"/>
    <w:unhideWhenUsed/>
    <w:qFormat/>
    <w:uiPriority w:val="9"/>
    <w:pPr>
      <w:keepNext/>
      <w:keepLines/>
      <w:numPr>
        <w:ilvl w:val="1"/>
        <w:numId w:val="1"/>
      </w:numPr>
      <w:spacing w:before="50" w:beforeLines="50" w:after="50" w:afterLines="50"/>
      <w:ind w:firstLineChars="0"/>
      <w:outlineLvl w:val="1"/>
    </w:pPr>
    <w:rPr>
      <w:rFonts w:cstheme="majorBidi"/>
      <w:b/>
      <w:bCs/>
      <w:color w:val="FF6600"/>
      <w:sz w:val="30"/>
      <w:szCs w:val="32"/>
    </w:rPr>
  </w:style>
  <w:style w:type="paragraph" w:styleId="5">
    <w:name w:val="heading 3"/>
    <w:basedOn w:val="1"/>
    <w:next w:val="1"/>
    <w:link w:val="96"/>
    <w:unhideWhenUsed/>
    <w:qFormat/>
    <w:uiPriority w:val="9"/>
    <w:pPr>
      <w:keepNext/>
      <w:keepLines/>
      <w:numPr>
        <w:ilvl w:val="2"/>
        <w:numId w:val="1"/>
      </w:numPr>
      <w:spacing w:before="50" w:beforeLines="50" w:after="50" w:afterLines="50"/>
      <w:ind w:firstLineChars="0"/>
      <w:outlineLvl w:val="2"/>
    </w:pPr>
    <w:rPr>
      <w:bCs/>
      <w:color w:val="0066FF"/>
      <w:sz w:val="28"/>
      <w:szCs w:val="32"/>
    </w:rPr>
  </w:style>
  <w:style w:type="paragraph" w:styleId="6">
    <w:name w:val="heading 4"/>
    <w:basedOn w:val="1"/>
    <w:next w:val="1"/>
    <w:link w:val="97"/>
    <w:unhideWhenUsed/>
    <w:qFormat/>
    <w:uiPriority w:val="9"/>
    <w:pPr>
      <w:keepNext/>
      <w:keepLines/>
      <w:numPr>
        <w:ilvl w:val="3"/>
        <w:numId w:val="1"/>
      </w:numPr>
      <w:spacing w:before="10" w:after="10" w:line="377" w:lineRule="auto"/>
      <w:ind w:left="0" w:firstLineChars="0"/>
      <w:outlineLvl w:val="3"/>
    </w:pPr>
    <w:rPr>
      <w:rFonts w:cstheme="majorBidi"/>
      <w:b/>
      <w:bCs/>
      <w:color w:val="00CC00"/>
      <w:szCs w:val="28"/>
    </w:rPr>
  </w:style>
  <w:style w:type="paragraph" w:styleId="7">
    <w:name w:val="heading 5"/>
    <w:basedOn w:val="1"/>
    <w:next w:val="8"/>
    <w:link w:val="139"/>
    <w:qFormat/>
    <w:uiPriority w:val="0"/>
    <w:pPr>
      <w:keepNext/>
      <w:keepLines/>
      <w:numPr>
        <w:ilvl w:val="4"/>
        <w:numId w:val="2"/>
      </w:numPr>
      <w:tabs>
        <w:tab w:val="left" w:pos="1008"/>
      </w:tabs>
      <w:autoSpaceDE w:val="0"/>
      <w:autoSpaceDN w:val="0"/>
      <w:adjustRightInd w:val="0"/>
      <w:spacing w:before="120" w:after="120"/>
      <w:ind w:firstLine="0" w:firstLineChars="0"/>
      <w:jc w:val="left"/>
      <w:outlineLvl w:val="4"/>
    </w:pPr>
    <w:rPr>
      <w:rFonts w:ascii="宋体" w:cs="Times New Roman"/>
      <w:b/>
      <w:spacing w:val="10"/>
      <w:kern w:val="0"/>
      <w:sz w:val="28"/>
      <w:szCs w:val="20"/>
    </w:rPr>
  </w:style>
  <w:style w:type="paragraph" w:styleId="9">
    <w:name w:val="heading 6"/>
    <w:basedOn w:val="1"/>
    <w:next w:val="1"/>
    <w:link w:val="105"/>
    <w:semiHidden/>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10">
    <w:name w:val="heading 7"/>
    <w:basedOn w:val="1"/>
    <w:next w:val="8"/>
    <w:link w:val="140"/>
    <w:qFormat/>
    <w:uiPriority w:val="0"/>
    <w:pPr>
      <w:keepNext/>
      <w:keepLines/>
      <w:numPr>
        <w:ilvl w:val="6"/>
        <w:numId w:val="2"/>
      </w:numPr>
      <w:tabs>
        <w:tab w:val="left" w:pos="1296"/>
      </w:tabs>
      <w:autoSpaceDE w:val="0"/>
      <w:autoSpaceDN w:val="0"/>
      <w:adjustRightInd w:val="0"/>
      <w:spacing w:before="120" w:after="120"/>
      <w:ind w:firstLine="0" w:firstLineChars="0"/>
      <w:jc w:val="left"/>
      <w:outlineLvl w:val="6"/>
    </w:pPr>
    <w:rPr>
      <w:rFonts w:ascii="宋体" w:cs="Times New Roman"/>
      <w:b/>
      <w:spacing w:val="10"/>
      <w:kern w:val="0"/>
      <w:szCs w:val="20"/>
    </w:rPr>
  </w:style>
  <w:style w:type="paragraph" w:styleId="11">
    <w:name w:val="heading 8"/>
    <w:basedOn w:val="1"/>
    <w:next w:val="8"/>
    <w:link w:val="141"/>
    <w:qFormat/>
    <w:uiPriority w:val="0"/>
    <w:pPr>
      <w:keepNext/>
      <w:keepLines/>
      <w:numPr>
        <w:ilvl w:val="7"/>
        <w:numId w:val="2"/>
      </w:numPr>
      <w:tabs>
        <w:tab w:val="left" w:pos="1440"/>
      </w:tabs>
      <w:autoSpaceDE w:val="0"/>
      <w:autoSpaceDN w:val="0"/>
      <w:adjustRightInd w:val="0"/>
      <w:spacing w:before="240" w:after="64" w:line="320" w:lineRule="auto"/>
      <w:ind w:firstLine="0" w:firstLineChars="0"/>
      <w:jc w:val="left"/>
      <w:outlineLvl w:val="7"/>
    </w:pPr>
    <w:rPr>
      <w:rFonts w:ascii="Arial" w:hAnsi="Arial" w:eastAsia="黑体" w:cs="Times New Roman"/>
      <w:spacing w:val="10"/>
      <w:kern w:val="0"/>
      <w:szCs w:val="20"/>
    </w:rPr>
  </w:style>
  <w:style w:type="paragraph" w:styleId="12">
    <w:name w:val="heading 9"/>
    <w:basedOn w:val="1"/>
    <w:next w:val="8"/>
    <w:link w:val="142"/>
    <w:qFormat/>
    <w:uiPriority w:val="0"/>
    <w:pPr>
      <w:keepNext/>
      <w:keepLines/>
      <w:numPr>
        <w:ilvl w:val="8"/>
        <w:numId w:val="2"/>
      </w:numPr>
      <w:tabs>
        <w:tab w:val="left" w:pos="1584"/>
      </w:tabs>
      <w:autoSpaceDE w:val="0"/>
      <w:autoSpaceDN w:val="0"/>
      <w:adjustRightInd w:val="0"/>
      <w:spacing w:before="120" w:after="120" w:line="240" w:lineRule="auto"/>
      <w:ind w:firstLine="0" w:firstLineChars="0"/>
      <w:jc w:val="left"/>
      <w:outlineLvl w:val="8"/>
    </w:pPr>
    <w:rPr>
      <w:rFonts w:ascii="Arial" w:hAnsi="Arial" w:cs="Times New Roman"/>
      <w:b/>
      <w:spacing w:val="10"/>
      <w:kern w:val="0"/>
      <w:sz w:val="28"/>
      <w:szCs w:val="20"/>
    </w:rPr>
  </w:style>
  <w:style w:type="character" w:default="1" w:styleId="90">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155"/>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200" w:firstLineChars="200"/>
    </w:pPr>
    <w:rPr>
      <w:rFonts w:ascii="Courier New" w:hAnsi="Courier New" w:eastAsia="宋体" w:cs="Courier New"/>
      <w:kern w:val="2"/>
      <w:sz w:val="24"/>
      <w:szCs w:val="24"/>
      <w:lang w:val="en-US" w:eastAsia="zh-CN" w:bidi="ar-SA"/>
    </w:rPr>
  </w:style>
  <w:style w:type="paragraph" w:styleId="8">
    <w:name w:val="Normal Indent"/>
    <w:basedOn w:val="1"/>
    <w:semiHidden/>
    <w:unhideWhenUsed/>
    <w:qFormat/>
    <w:uiPriority w:val="99"/>
    <w:pPr>
      <w:ind w:firstLine="420"/>
    </w:pPr>
  </w:style>
  <w:style w:type="paragraph" w:styleId="13">
    <w:name w:val="List 3"/>
    <w:basedOn w:val="1"/>
    <w:semiHidden/>
    <w:unhideWhenUsed/>
    <w:qFormat/>
    <w:uiPriority w:val="99"/>
    <w:pPr>
      <w:ind w:left="100" w:leftChars="400" w:hanging="200" w:hangingChars="200"/>
      <w:contextualSpacing/>
    </w:pPr>
  </w:style>
  <w:style w:type="paragraph" w:styleId="14">
    <w:name w:val="toc 7"/>
    <w:basedOn w:val="1"/>
    <w:next w:val="1"/>
    <w:autoRedefine/>
    <w:unhideWhenUsed/>
    <w:qFormat/>
    <w:uiPriority w:val="39"/>
    <w:pPr>
      <w:ind w:left="2520" w:leftChars="1200"/>
    </w:pPr>
  </w:style>
  <w:style w:type="paragraph" w:styleId="15">
    <w:name w:val="List Number 2"/>
    <w:basedOn w:val="1"/>
    <w:semiHidden/>
    <w:unhideWhenUsed/>
    <w:qFormat/>
    <w:uiPriority w:val="99"/>
    <w:pPr>
      <w:numPr>
        <w:ilvl w:val="0"/>
        <w:numId w:val="3"/>
      </w:numPr>
      <w:contextualSpacing/>
    </w:pPr>
  </w:style>
  <w:style w:type="paragraph" w:styleId="16">
    <w:name w:val="table of authorities"/>
    <w:basedOn w:val="1"/>
    <w:next w:val="1"/>
    <w:semiHidden/>
    <w:unhideWhenUsed/>
    <w:qFormat/>
    <w:uiPriority w:val="99"/>
    <w:pPr>
      <w:ind w:left="420" w:leftChars="200" w:firstLine="0"/>
    </w:pPr>
  </w:style>
  <w:style w:type="paragraph" w:styleId="17">
    <w:name w:val="Note Heading"/>
    <w:basedOn w:val="1"/>
    <w:next w:val="1"/>
    <w:link w:val="176"/>
    <w:semiHidden/>
    <w:unhideWhenUsed/>
    <w:qFormat/>
    <w:uiPriority w:val="99"/>
    <w:pPr>
      <w:jc w:val="center"/>
    </w:pPr>
  </w:style>
  <w:style w:type="paragraph" w:styleId="18">
    <w:name w:val="List Bullet 4"/>
    <w:basedOn w:val="1"/>
    <w:semiHidden/>
    <w:unhideWhenUsed/>
    <w:qFormat/>
    <w:uiPriority w:val="99"/>
    <w:pPr>
      <w:numPr>
        <w:ilvl w:val="0"/>
        <w:numId w:val="4"/>
      </w:numPr>
      <w:contextualSpacing/>
    </w:pPr>
  </w:style>
  <w:style w:type="paragraph" w:styleId="19">
    <w:name w:val="index 8"/>
    <w:basedOn w:val="1"/>
    <w:next w:val="1"/>
    <w:autoRedefine/>
    <w:semiHidden/>
    <w:unhideWhenUsed/>
    <w:qFormat/>
    <w:uiPriority w:val="99"/>
    <w:pPr>
      <w:ind w:left="1400" w:leftChars="1400" w:firstLine="0"/>
    </w:pPr>
  </w:style>
  <w:style w:type="paragraph" w:styleId="20">
    <w:name w:val="E-mail Signature"/>
    <w:basedOn w:val="1"/>
    <w:link w:val="154"/>
    <w:semiHidden/>
    <w:unhideWhenUsed/>
    <w:qFormat/>
    <w:uiPriority w:val="99"/>
  </w:style>
  <w:style w:type="paragraph" w:styleId="21">
    <w:name w:val="List Number"/>
    <w:basedOn w:val="1"/>
    <w:semiHidden/>
    <w:unhideWhenUsed/>
    <w:qFormat/>
    <w:uiPriority w:val="99"/>
    <w:pPr>
      <w:numPr>
        <w:ilvl w:val="0"/>
        <w:numId w:val="5"/>
      </w:numPr>
      <w:contextualSpacing/>
    </w:pPr>
  </w:style>
  <w:style w:type="paragraph" w:styleId="22">
    <w:name w:val="caption"/>
    <w:basedOn w:val="1"/>
    <w:next w:val="1"/>
    <w:semiHidden/>
    <w:unhideWhenUsed/>
    <w:qFormat/>
    <w:uiPriority w:val="35"/>
    <w:rPr>
      <w:rFonts w:eastAsia="黑体" w:asciiTheme="majorHAnsi" w:hAnsiTheme="majorHAnsi" w:cstheme="majorBidi"/>
      <w:sz w:val="20"/>
      <w:szCs w:val="20"/>
    </w:rPr>
  </w:style>
  <w:style w:type="paragraph" w:styleId="23">
    <w:name w:val="index 5"/>
    <w:basedOn w:val="1"/>
    <w:next w:val="1"/>
    <w:autoRedefine/>
    <w:semiHidden/>
    <w:unhideWhenUsed/>
    <w:qFormat/>
    <w:uiPriority w:val="99"/>
    <w:pPr>
      <w:ind w:left="800" w:leftChars="800" w:firstLine="0"/>
    </w:pPr>
  </w:style>
  <w:style w:type="paragraph" w:styleId="24">
    <w:name w:val="List Bullet"/>
    <w:basedOn w:val="1"/>
    <w:semiHidden/>
    <w:unhideWhenUsed/>
    <w:qFormat/>
    <w:uiPriority w:val="99"/>
    <w:pPr>
      <w:numPr>
        <w:ilvl w:val="0"/>
        <w:numId w:val="6"/>
      </w:numPr>
      <w:contextualSpacing/>
    </w:p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Cs w:val="24"/>
    </w:rPr>
  </w:style>
  <w:style w:type="paragraph" w:styleId="26">
    <w:name w:val="Document Map"/>
    <w:basedOn w:val="1"/>
    <w:link w:val="164"/>
    <w:semiHidden/>
    <w:unhideWhenUsed/>
    <w:qFormat/>
    <w:uiPriority w:val="99"/>
    <w:rPr>
      <w:rFonts w:ascii="Microsoft YaHei UI" w:eastAsia="Microsoft YaHei UI"/>
      <w:sz w:val="18"/>
      <w:szCs w:val="18"/>
    </w:rPr>
  </w:style>
  <w:style w:type="paragraph" w:styleId="27">
    <w:name w:val="toa heading"/>
    <w:basedOn w:val="1"/>
    <w:next w:val="1"/>
    <w:semiHidden/>
    <w:unhideWhenUsed/>
    <w:qFormat/>
    <w:uiPriority w:val="99"/>
    <w:pPr>
      <w:spacing w:before="120"/>
    </w:pPr>
    <w:rPr>
      <w:rFonts w:asciiTheme="majorHAnsi" w:hAnsiTheme="majorHAnsi" w:eastAsiaTheme="majorEastAsia" w:cstheme="majorBidi"/>
      <w:szCs w:val="24"/>
    </w:rPr>
  </w:style>
  <w:style w:type="paragraph" w:styleId="28">
    <w:name w:val="annotation text"/>
    <w:basedOn w:val="1"/>
    <w:link w:val="116"/>
    <w:semiHidden/>
    <w:unhideWhenUsed/>
    <w:qFormat/>
    <w:uiPriority w:val="99"/>
    <w:pPr>
      <w:jc w:val="left"/>
    </w:pPr>
  </w:style>
  <w:style w:type="paragraph" w:styleId="29">
    <w:name w:val="index 6"/>
    <w:basedOn w:val="1"/>
    <w:next w:val="1"/>
    <w:autoRedefine/>
    <w:semiHidden/>
    <w:unhideWhenUsed/>
    <w:qFormat/>
    <w:uiPriority w:val="99"/>
    <w:pPr>
      <w:ind w:left="1000" w:leftChars="1000" w:firstLine="0"/>
    </w:pPr>
  </w:style>
  <w:style w:type="paragraph" w:styleId="30">
    <w:name w:val="Salutation"/>
    <w:basedOn w:val="1"/>
    <w:next w:val="1"/>
    <w:link w:val="153"/>
    <w:semiHidden/>
    <w:unhideWhenUsed/>
    <w:qFormat/>
    <w:uiPriority w:val="99"/>
  </w:style>
  <w:style w:type="paragraph" w:styleId="31">
    <w:name w:val="Body Text 3"/>
    <w:basedOn w:val="1"/>
    <w:link w:val="170"/>
    <w:semiHidden/>
    <w:unhideWhenUsed/>
    <w:qFormat/>
    <w:uiPriority w:val="99"/>
    <w:pPr>
      <w:spacing w:after="120"/>
    </w:pPr>
    <w:rPr>
      <w:sz w:val="16"/>
      <w:szCs w:val="16"/>
    </w:rPr>
  </w:style>
  <w:style w:type="paragraph" w:styleId="32">
    <w:name w:val="Closing"/>
    <w:basedOn w:val="1"/>
    <w:link w:val="157"/>
    <w:semiHidden/>
    <w:unhideWhenUsed/>
    <w:qFormat/>
    <w:uiPriority w:val="99"/>
    <w:pPr>
      <w:ind w:left="100" w:leftChars="2100"/>
    </w:pPr>
  </w:style>
  <w:style w:type="paragraph" w:styleId="33">
    <w:name w:val="List Bullet 3"/>
    <w:basedOn w:val="1"/>
    <w:semiHidden/>
    <w:unhideWhenUsed/>
    <w:qFormat/>
    <w:uiPriority w:val="99"/>
    <w:pPr>
      <w:numPr>
        <w:ilvl w:val="0"/>
        <w:numId w:val="7"/>
      </w:numPr>
      <w:contextualSpacing/>
    </w:pPr>
  </w:style>
  <w:style w:type="paragraph" w:styleId="34">
    <w:name w:val="Body Text"/>
    <w:basedOn w:val="1"/>
    <w:link w:val="119"/>
    <w:unhideWhenUsed/>
    <w:qFormat/>
    <w:uiPriority w:val="0"/>
    <w:pPr>
      <w:suppressAutoHyphens/>
      <w:adjustRightInd w:val="0"/>
      <w:spacing w:line="312" w:lineRule="auto"/>
      <w:ind w:firstLine="0" w:firstLineChars="0"/>
      <w:jc w:val="left"/>
    </w:pPr>
    <w:rPr>
      <w:rFonts w:cs="Times New Roman"/>
      <w:spacing w:val="-4"/>
      <w:kern w:val="0"/>
      <w:szCs w:val="20"/>
    </w:rPr>
  </w:style>
  <w:style w:type="paragraph" w:styleId="35">
    <w:name w:val="Body Text Indent"/>
    <w:basedOn w:val="1"/>
    <w:link w:val="172"/>
    <w:semiHidden/>
    <w:unhideWhenUsed/>
    <w:qFormat/>
    <w:uiPriority w:val="99"/>
    <w:pPr>
      <w:spacing w:after="120"/>
      <w:ind w:left="420" w:leftChars="200"/>
    </w:pPr>
  </w:style>
  <w:style w:type="paragraph" w:styleId="36">
    <w:name w:val="List Number 3"/>
    <w:basedOn w:val="1"/>
    <w:semiHidden/>
    <w:unhideWhenUsed/>
    <w:qFormat/>
    <w:uiPriority w:val="99"/>
    <w:pPr>
      <w:numPr>
        <w:ilvl w:val="0"/>
        <w:numId w:val="8"/>
      </w:numPr>
      <w:contextualSpacing/>
    </w:pPr>
  </w:style>
  <w:style w:type="paragraph" w:styleId="37">
    <w:name w:val="List 2"/>
    <w:basedOn w:val="1"/>
    <w:semiHidden/>
    <w:unhideWhenUsed/>
    <w:qFormat/>
    <w:uiPriority w:val="99"/>
    <w:pPr>
      <w:ind w:left="100" w:leftChars="200" w:hanging="200" w:hangingChars="200"/>
      <w:contextualSpacing/>
    </w:pPr>
  </w:style>
  <w:style w:type="paragraph" w:styleId="38">
    <w:name w:val="List Continue"/>
    <w:basedOn w:val="1"/>
    <w:semiHidden/>
    <w:unhideWhenUsed/>
    <w:qFormat/>
    <w:uiPriority w:val="99"/>
    <w:pPr>
      <w:spacing w:after="120"/>
      <w:ind w:left="420" w:leftChars="200"/>
      <w:contextualSpacing/>
    </w:pPr>
  </w:style>
  <w:style w:type="paragraph" w:styleId="39">
    <w:name w:val="Block Text"/>
    <w:basedOn w:val="1"/>
    <w:semiHidden/>
    <w:unhideWhenUsed/>
    <w:qFormat/>
    <w:uiPriority w:val="99"/>
    <w:pPr>
      <w:spacing w:after="120"/>
      <w:ind w:left="1440" w:leftChars="700" w:right="1440" w:rightChars="700"/>
    </w:pPr>
  </w:style>
  <w:style w:type="paragraph" w:styleId="40">
    <w:name w:val="List Bullet 2"/>
    <w:basedOn w:val="1"/>
    <w:semiHidden/>
    <w:unhideWhenUsed/>
    <w:qFormat/>
    <w:uiPriority w:val="99"/>
    <w:pPr>
      <w:numPr>
        <w:ilvl w:val="0"/>
        <w:numId w:val="9"/>
      </w:numPr>
      <w:contextualSpacing/>
    </w:pPr>
  </w:style>
  <w:style w:type="paragraph" w:styleId="41">
    <w:name w:val="HTML Address"/>
    <w:basedOn w:val="1"/>
    <w:link w:val="150"/>
    <w:semiHidden/>
    <w:unhideWhenUsed/>
    <w:qFormat/>
    <w:uiPriority w:val="99"/>
    <w:rPr>
      <w:i/>
      <w:iCs/>
    </w:rPr>
  </w:style>
  <w:style w:type="paragraph" w:styleId="42">
    <w:name w:val="index 4"/>
    <w:basedOn w:val="1"/>
    <w:next w:val="1"/>
    <w:autoRedefine/>
    <w:semiHidden/>
    <w:unhideWhenUsed/>
    <w:qFormat/>
    <w:uiPriority w:val="99"/>
    <w:pPr>
      <w:ind w:left="600" w:leftChars="600" w:firstLine="0"/>
    </w:pPr>
  </w:style>
  <w:style w:type="paragraph" w:styleId="43">
    <w:name w:val="toc 5"/>
    <w:basedOn w:val="1"/>
    <w:next w:val="1"/>
    <w:autoRedefine/>
    <w:unhideWhenUsed/>
    <w:qFormat/>
    <w:uiPriority w:val="39"/>
    <w:pPr>
      <w:ind w:left="1680" w:leftChars="800"/>
    </w:pPr>
  </w:style>
  <w:style w:type="paragraph" w:styleId="44">
    <w:name w:val="toc 3"/>
    <w:basedOn w:val="1"/>
    <w:next w:val="1"/>
    <w:autoRedefine/>
    <w:unhideWhenUsed/>
    <w:qFormat/>
    <w:uiPriority w:val="39"/>
    <w:pPr>
      <w:ind w:left="840" w:leftChars="400"/>
    </w:pPr>
  </w:style>
  <w:style w:type="paragraph" w:styleId="45">
    <w:name w:val="Plain Text"/>
    <w:basedOn w:val="1"/>
    <w:link w:val="126"/>
    <w:qFormat/>
    <w:uiPriority w:val="0"/>
    <w:pPr>
      <w:spacing w:line="240" w:lineRule="auto"/>
      <w:ind w:firstLine="0" w:firstLineChars="0"/>
    </w:pPr>
    <w:rPr>
      <w:rFonts w:hint="eastAsia" w:ascii="宋体" w:hAnsi="Courier New" w:cs="Courier New"/>
      <w:sz w:val="21"/>
      <w:szCs w:val="21"/>
    </w:rPr>
  </w:style>
  <w:style w:type="paragraph" w:styleId="46">
    <w:name w:val="List Bullet 5"/>
    <w:basedOn w:val="1"/>
    <w:semiHidden/>
    <w:unhideWhenUsed/>
    <w:qFormat/>
    <w:uiPriority w:val="99"/>
    <w:pPr>
      <w:numPr>
        <w:ilvl w:val="0"/>
        <w:numId w:val="10"/>
      </w:numPr>
      <w:contextualSpacing/>
    </w:pPr>
  </w:style>
  <w:style w:type="paragraph" w:styleId="47">
    <w:name w:val="List Number 4"/>
    <w:basedOn w:val="1"/>
    <w:semiHidden/>
    <w:unhideWhenUsed/>
    <w:qFormat/>
    <w:uiPriority w:val="99"/>
    <w:pPr>
      <w:numPr>
        <w:ilvl w:val="0"/>
        <w:numId w:val="11"/>
      </w:numPr>
      <w:contextualSpacing/>
    </w:pPr>
  </w:style>
  <w:style w:type="paragraph" w:styleId="48">
    <w:name w:val="toc 8"/>
    <w:basedOn w:val="1"/>
    <w:next w:val="1"/>
    <w:autoRedefine/>
    <w:unhideWhenUsed/>
    <w:qFormat/>
    <w:uiPriority w:val="39"/>
    <w:pPr>
      <w:ind w:left="2940" w:leftChars="1400"/>
    </w:pPr>
  </w:style>
  <w:style w:type="paragraph" w:styleId="49">
    <w:name w:val="index 3"/>
    <w:basedOn w:val="1"/>
    <w:next w:val="1"/>
    <w:autoRedefine/>
    <w:semiHidden/>
    <w:unhideWhenUsed/>
    <w:qFormat/>
    <w:uiPriority w:val="99"/>
    <w:pPr>
      <w:ind w:left="400" w:leftChars="400" w:firstLine="0"/>
    </w:pPr>
  </w:style>
  <w:style w:type="paragraph" w:styleId="50">
    <w:name w:val="Date"/>
    <w:basedOn w:val="1"/>
    <w:next w:val="1"/>
    <w:link w:val="161"/>
    <w:semiHidden/>
    <w:unhideWhenUsed/>
    <w:qFormat/>
    <w:uiPriority w:val="99"/>
    <w:pPr>
      <w:ind w:left="100" w:leftChars="2500"/>
    </w:pPr>
  </w:style>
  <w:style w:type="paragraph" w:styleId="51">
    <w:name w:val="Body Text Indent 2"/>
    <w:basedOn w:val="1"/>
    <w:link w:val="174"/>
    <w:semiHidden/>
    <w:unhideWhenUsed/>
    <w:qFormat/>
    <w:uiPriority w:val="99"/>
    <w:pPr>
      <w:spacing w:after="120" w:line="480" w:lineRule="auto"/>
      <w:ind w:left="420" w:leftChars="200"/>
    </w:pPr>
  </w:style>
  <w:style w:type="paragraph" w:styleId="52">
    <w:name w:val="endnote text"/>
    <w:basedOn w:val="1"/>
    <w:link w:val="163"/>
    <w:semiHidden/>
    <w:unhideWhenUsed/>
    <w:qFormat/>
    <w:uiPriority w:val="99"/>
    <w:pPr>
      <w:snapToGrid w:val="0"/>
      <w:jc w:val="left"/>
    </w:pPr>
  </w:style>
  <w:style w:type="paragraph" w:styleId="53">
    <w:name w:val="List Continue 5"/>
    <w:basedOn w:val="1"/>
    <w:semiHidden/>
    <w:unhideWhenUsed/>
    <w:qFormat/>
    <w:uiPriority w:val="99"/>
    <w:pPr>
      <w:spacing w:after="120"/>
      <w:ind w:left="2100" w:leftChars="1000"/>
      <w:contextualSpacing/>
    </w:pPr>
  </w:style>
  <w:style w:type="paragraph" w:styleId="54">
    <w:name w:val="Balloon Text"/>
    <w:basedOn w:val="1"/>
    <w:link w:val="100"/>
    <w:semiHidden/>
    <w:unhideWhenUsed/>
    <w:qFormat/>
    <w:uiPriority w:val="99"/>
    <w:pPr>
      <w:spacing w:line="240" w:lineRule="auto"/>
    </w:pPr>
    <w:rPr>
      <w:sz w:val="18"/>
      <w:szCs w:val="18"/>
    </w:rPr>
  </w:style>
  <w:style w:type="paragraph" w:styleId="55">
    <w:name w:val="footer"/>
    <w:basedOn w:val="1"/>
    <w:link w:val="99"/>
    <w:unhideWhenUsed/>
    <w:qFormat/>
    <w:uiPriority w:val="99"/>
    <w:pPr>
      <w:tabs>
        <w:tab w:val="center" w:pos="4153"/>
        <w:tab w:val="right" w:pos="8306"/>
      </w:tabs>
      <w:snapToGrid w:val="0"/>
      <w:spacing w:line="240" w:lineRule="auto"/>
      <w:jc w:val="left"/>
    </w:pPr>
    <w:rPr>
      <w:sz w:val="18"/>
      <w:szCs w:val="18"/>
    </w:rPr>
  </w:style>
  <w:style w:type="paragraph" w:styleId="56">
    <w:name w:val="envelope return"/>
    <w:basedOn w:val="1"/>
    <w:semiHidden/>
    <w:unhideWhenUsed/>
    <w:qFormat/>
    <w:uiPriority w:val="99"/>
    <w:pPr>
      <w:snapToGrid w:val="0"/>
    </w:pPr>
    <w:rPr>
      <w:rFonts w:asciiTheme="majorHAnsi" w:hAnsiTheme="majorHAnsi" w:eastAsiaTheme="majorEastAsia" w:cstheme="majorBidi"/>
    </w:rPr>
  </w:style>
  <w:style w:type="paragraph" w:styleId="57">
    <w:name w:val="header"/>
    <w:basedOn w:val="1"/>
    <w:link w:val="98"/>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8">
    <w:name w:val="Signature"/>
    <w:basedOn w:val="1"/>
    <w:link w:val="160"/>
    <w:semiHidden/>
    <w:unhideWhenUsed/>
    <w:qFormat/>
    <w:uiPriority w:val="99"/>
    <w:pPr>
      <w:ind w:left="100" w:leftChars="2100"/>
    </w:pPr>
  </w:style>
  <w:style w:type="paragraph" w:styleId="59">
    <w:name w:val="toc 1"/>
    <w:basedOn w:val="1"/>
    <w:next w:val="1"/>
    <w:autoRedefine/>
    <w:unhideWhenUsed/>
    <w:qFormat/>
    <w:uiPriority w:val="39"/>
  </w:style>
  <w:style w:type="paragraph" w:styleId="60">
    <w:name w:val="List Continue 4"/>
    <w:basedOn w:val="1"/>
    <w:semiHidden/>
    <w:unhideWhenUsed/>
    <w:qFormat/>
    <w:uiPriority w:val="99"/>
    <w:pPr>
      <w:spacing w:after="120"/>
      <w:ind w:left="1680" w:leftChars="800"/>
      <w:contextualSpacing/>
    </w:pPr>
  </w:style>
  <w:style w:type="paragraph" w:styleId="61">
    <w:name w:val="toc 4"/>
    <w:basedOn w:val="1"/>
    <w:next w:val="1"/>
    <w:autoRedefine/>
    <w:unhideWhenUsed/>
    <w:qFormat/>
    <w:uiPriority w:val="39"/>
    <w:pPr>
      <w:ind w:left="1260" w:leftChars="600"/>
    </w:pPr>
  </w:style>
  <w:style w:type="paragraph" w:styleId="62">
    <w:name w:val="index heading"/>
    <w:basedOn w:val="1"/>
    <w:next w:val="63"/>
    <w:semiHidden/>
    <w:unhideWhenUsed/>
    <w:qFormat/>
    <w:uiPriority w:val="99"/>
    <w:rPr>
      <w:rFonts w:asciiTheme="majorHAnsi" w:hAnsiTheme="majorHAnsi" w:eastAsiaTheme="majorEastAsia" w:cstheme="majorBidi"/>
      <w:b/>
      <w:bCs/>
    </w:rPr>
  </w:style>
  <w:style w:type="paragraph" w:styleId="63">
    <w:name w:val="index 1"/>
    <w:basedOn w:val="1"/>
    <w:next w:val="1"/>
    <w:autoRedefine/>
    <w:semiHidden/>
    <w:unhideWhenUsed/>
    <w:qFormat/>
    <w:uiPriority w:val="99"/>
    <w:pPr>
      <w:ind w:firstLine="0"/>
    </w:pPr>
  </w:style>
  <w:style w:type="paragraph" w:styleId="64">
    <w:name w:val="Subtitle"/>
    <w:basedOn w:val="1"/>
    <w:next w:val="1"/>
    <w:link w:val="149"/>
    <w:qFormat/>
    <w:uiPriority w:val="11"/>
    <w:pPr>
      <w:spacing w:line="240" w:lineRule="auto"/>
      <w:ind w:firstLine="0" w:firstLineChars="0"/>
      <w:jc w:val="center"/>
    </w:pPr>
    <w:rPr>
      <w:rFonts w:hint="eastAsia" w:ascii="等线 Light" w:hAnsi="等线 Light" w:cs="Times New Roman"/>
      <w:bCs/>
      <w:kern w:val="28"/>
      <w:sz w:val="21"/>
      <w:szCs w:val="32"/>
    </w:rPr>
  </w:style>
  <w:style w:type="paragraph" w:styleId="65">
    <w:name w:val="List Number 5"/>
    <w:basedOn w:val="1"/>
    <w:semiHidden/>
    <w:unhideWhenUsed/>
    <w:qFormat/>
    <w:uiPriority w:val="99"/>
    <w:pPr>
      <w:numPr>
        <w:ilvl w:val="0"/>
        <w:numId w:val="12"/>
      </w:numPr>
      <w:contextualSpacing/>
    </w:pPr>
  </w:style>
  <w:style w:type="paragraph" w:styleId="66">
    <w:name w:val="List"/>
    <w:basedOn w:val="1"/>
    <w:semiHidden/>
    <w:unhideWhenUsed/>
    <w:qFormat/>
    <w:uiPriority w:val="99"/>
    <w:pPr>
      <w:ind w:left="200" w:hanging="200" w:hangingChars="200"/>
      <w:contextualSpacing/>
    </w:pPr>
  </w:style>
  <w:style w:type="paragraph" w:styleId="67">
    <w:name w:val="footnote text"/>
    <w:basedOn w:val="1"/>
    <w:link w:val="156"/>
    <w:semiHidden/>
    <w:unhideWhenUsed/>
    <w:qFormat/>
    <w:uiPriority w:val="99"/>
    <w:pPr>
      <w:snapToGrid w:val="0"/>
      <w:jc w:val="left"/>
    </w:pPr>
    <w:rPr>
      <w:sz w:val="18"/>
      <w:szCs w:val="18"/>
    </w:rPr>
  </w:style>
  <w:style w:type="paragraph" w:styleId="68">
    <w:name w:val="toc 6"/>
    <w:basedOn w:val="1"/>
    <w:next w:val="1"/>
    <w:autoRedefine/>
    <w:unhideWhenUsed/>
    <w:qFormat/>
    <w:uiPriority w:val="39"/>
    <w:pPr>
      <w:ind w:left="2100" w:leftChars="1000"/>
    </w:pPr>
  </w:style>
  <w:style w:type="paragraph" w:styleId="69">
    <w:name w:val="List 5"/>
    <w:basedOn w:val="1"/>
    <w:semiHidden/>
    <w:unhideWhenUsed/>
    <w:qFormat/>
    <w:uiPriority w:val="99"/>
    <w:pPr>
      <w:ind w:left="100" w:leftChars="800" w:hanging="200" w:hangingChars="200"/>
      <w:contextualSpacing/>
    </w:pPr>
  </w:style>
  <w:style w:type="paragraph" w:styleId="70">
    <w:name w:val="Body Text Indent 3"/>
    <w:basedOn w:val="1"/>
    <w:link w:val="175"/>
    <w:semiHidden/>
    <w:unhideWhenUsed/>
    <w:qFormat/>
    <w:uiPriority w:val="99"/>
    <w:pPr>
      <w:spacing w:after="120"/>
      <w:ind w:left="420" w:leftChars="200"/>
    </w:pPr>
    <w:rPr>
      <w:sz w:val="16"/>
      <w:szCs w:val="16"/>
    </w:rPr>
  </w:style>
  <w:style w:type="paragraph" w:styleId="71">
    <w:name w:val="index 7"/>
    <w:basedOn w:val="1"/>
    <w:next w:val="1"/>
    <w:autoRedefine/>
    <w:semiHidden/>
    <w:unhideWhenUsed/>
    <w:qFormat/>
    <w:uiPriority w:val="99"/>
    <w:pPr>
      <w:ind w:left="1200" w:leftChars="1200" w:firstLine="0"/>
    </w:pPr>
  </w:style>
  <w:style w:type="paragraph" w:styleId="72">
    <w:name w:val="index 9"/>
    <w:basedOn w:val="1"/>
    <w:next w:val="1"/>
    <w:autoRedefine/>
    <w:semiHidden/>
    <w:unhideWhenUsed/>
    <w:qFormat/>
    <w:uiPriority w:val="99"/>
    <w:pPr>
      <w:ind w:left="1600" w:leftChars="1600" w:firstLine="0"/>
    </w:pPr>
  </w:style>
  <w:style w:type="paragraph" w:styleId="73">
    <w:name w:val="table of figures"/>
    <w:basedOn w:val="1"/>
    <w:next w:val="1"/>
    <w:semiHidden/>
    <w:unhideWhenUsed/>
    <w:qFormat/>
    <w:uiPriority w:val="99"/>
    <w:pPr>
      <w:ind w:left="200" w:leftChars="200" w:hanging="200" w:hangingChars="200"/>
    </w:pPr>
  </w:style>
  <w:style w:type="paragraph" w:styleId="74">
    <w:name w:val="toc 2"/>
    <w:basedOn w:val="1"/>
    <w:next w:val="1"/>
    <w:autoRedefine/>
    <w:unhideWhenUsed/>
    <w:qFormat/>
    <w:uiPriority w:val="39"/>
    <w:pPr>
      <w:ind w:left="420" w:leftChars="200"/>
    </w:pPr>
  </w:style>
  <w:style w:type="paragraph" w:styleId="75">
    <w:name w:val="toc 9"/>
    <w:basedOn w:val="1"/>
    <w:next w:val="1"/>
    <w:autoRedefine/>
    <w:unhideWhenUsed/>
    <w:qFormat/>
    <w:uiPriority w:val="39"/>
    <w:pPr>
      <w:ind w:left="3360" w:leftChars="1600"/>
    </w:pPr>
  </w:style>
  <w:style w:type="paragraph" w:styleId="76">
    <w:name w:val="Body Text 2"/>
    <w:basedOn w:val="1"/>
    <w:link w:val="169"/>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166"/>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Cs w:val="24"/>
    </w:rPr>
  </w:style>
  <w:style w:type="paragraph" w:styleId="80">
    <w:name w:val="HTML Preformatted"/>
    <w:basedOn w:val="1"/>
    <w:link w:val="151"/>
    <w:semiHidden/>
    <w:unhideWhenUsed/>
    <w:qFormat/>
    <w:uiPriority w:val="99"/>
    <w:rPr>
      <w:rFonts w:ascii="Courier New" w:hAnsi="Courier New" w:cs="Courier New"/>
      <w:sz w:val="20"/>
      <w:szCs w:val="20"/>
    </w:rPr>
  </w:style>
  <w:style w:type="paragraph" w:styleId="81">
    <w:name w:val="Normal (Web)"/>
    <w:basedOn w:val="1"/>
    <w:semiHidden/>
    <w:unhideWhenUsed/>
    <w:qFormat/>
    <w:uiPriority w:val="99"/>
    <w:rPr>
      <w:rFonts w:cs="Times New Roman"/>
      <w:szCs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firstLine="0"/>
    </w:pPr>
  </w:style>
  <w:style w:type="paragraph" w:styleId="84">
    <w:name w:val="Title"/>
    <w:basedOn w:val="1"/>
    <w:next w:val="1"/>
    <w:link w:val="152"/>
    <w:qFormat/>
    <w:uiPriority w:val="10"/>
    <w:pPr>
      <w:spacing w:before="240" w:after="60"/>
      <w:jc w:val="center"/>
      <w:outlineLvl w:val="0"/>
    </w:pPr>
    <w:rPr>
      <w:rFonts w:asciiTheme="majorHAnsi" w:hAnsiTheme="majorHAnsi" w:eastAsiaTheme="majorEastAsia" w:cstheme="majorBidi"/>
      <w:b/>
      <w:bCs/>
      <w:sz w:val="32"/>
      <w:szCs w:val="32"/>
    </w:rPr>
  </w:style>
  <w:style w:type="paragraph" w:styleId="85">
    <w:name w:val="annotation subject"/>
    <w:basedOn w:val="28"/>
    <w:next w:val="28"/>
    <w:link w:val="117"/>
    <w:semiHidden/>
    <w:unhideWhenUsed/>
    <w:qFormat/>
    <w:uiPriority w:val="99"/>
    <w:rPr>
      <w:b/>
      <w:bCs/>
    </w:rPr>
  </w:style>
  <w:style w:type="paragraph" w:styleId="86">
    <w:name w:val="Body Text First Indent"/>
    <w:basedOn w:val="1"/>
    <w:link w:val="171"/>
    <w:semiHidden/>
    <w:unhideWhenUsed/>
    <w:qFormat/>
    <w:uiPriority w:val="99"/>
    <w:pPr>
      <w:suppressAutoHyphens w:val="0"/>
      <w:adjustRightInd/>
      <w:spacing w:after="120" w:line="360" w:lineRule="auto"/>
      <w:ind w:firstLine="420" w:firstLineChars="100"/>
      <w:jc w:val="both"/>
    </w:pPr>
    <w:rPr>
      <w:rFonts w:cstheme="minorBidi"/>
      <w:spacing w:val="0"/>
      <w:kern w:val="2"/>
      <w:szCs w:val="22"/>
    </w:rPr>
  </w:style>
  <w:style w:type="paragraph" w:styleId="87">
    <w:name w:val="Body Text First Indent 2"/>
    <w:basedOn w:val="35"/>
    <w:link w:val="173"/>
    <w:semiHidden/>
    <w:unhideWhenUsed/>
    <w:qFormat/>
    <w:uiPriority w:val="99"/>
    <w:pPr>
      <w:ind w:firstLine="420"/>
    </w:pPr>
  </w:style>
  <w:style w:type="table" w:styleId="89">
    <w:name w:val="Table Grid"/>
    <w:basedOn w:val="8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Emphasis"/>
    <w:qFormat/>
    <w:uiPriority w:val="20"/>
    <w:rPr>
      <w:i/>
      <w:iCs/>
    </w:rPr>
  </w:style>
  <w:style w:type="character" w:styleId="92">
    <w:name w:val="Hyperlink"/>
    <w:basedOn w:val="90"/>
    <w:unhideWhenUsed/>
    <w:qFormat/>
    <w:uiPriority w:val="99"/>
    <w:rPr>
      <w:color w:val="0563C1" w:themeColor="hyperlink"/>
      <w:u w:val="single"/>
    </w:rPr>
  </w:style>
  <w:style w:type="character" w:styleId="93">
    <w:name w:val="annotation reference"/>
    <w:basedOn w:val="90"/>
    <w:semiHidden/>
    <w:unhideWhenUsed/>
    <w:qFormat/>
    <w:uiPriority w:val="99"/>
    <w:rPr>
      <w:sz w:val="21"/>
      <w:szCs w:val="21"/>
    </w:rPr>
  </w:style>
  <w:style w:type="character" w:customStyle="1" w:styleId="94">
    <w:name w:val="标题 1 字符"/>
    <w:basedOn w:val="90"/>
    <w:link w:val="3"/>
    <w:qFormat/>
    <w:uiPriority w:val="9"/>
    <w:rPr>
      <w:rFonts w:ascii="Times New Roman" w:hAnsi="Times New Roman" w:eastAsia="宋体"/>
      <w:b/>
      <w:bCs/>
      <w:kern w:val="44"/>
      <w:sz w:val="28"/>
      <w:szCs w:val="44"/>
    </w:rPr>
  </w:style>
  <w:style w:type="character" w:customStyle="1" w:styleId="95">
    <w:name w:val="标题 2 字符"/>
    <w:basedOn w:val="90"/>
    <w:link w:val="4"/>
    <w:qFormat/>
    <w:uiPriority w:val="9"/>
    <w:rPr>
      <w:rFonts w:ascii="Times New Roman" w:hAnsi="Times New Roman" w:eastAsia="宋体" w:cstheme="majorBidi"/>
      <w:b/>
      <w:bCs/>
      <w:color w:val="FF6600"/>
      <w:sz w:val="30"/>
      <w:szCs w:val="32"/>
    </w:rPr>
  </w:style>
  <w:style w:type="character" w:customStyle="1" w:styleId="96">
    <w:name w:val="标题 3 字符"/>
    <w:basedOn w:val="90"/>
    <w:link w:val="5"/>
    <w:qFormat/>
    <w:uiPriority w:val="9"/>
    <w:rPr>
      <w:rFonts w:ascii="Times New Roman" w:hAnsi="Times New Roman" w:eastAsia="宋体"/>
      <w:bCs/>
      <w:color w:val="0066FF"/>
      <w:sz w:val="28"/>
      <w:szCs w:val="32"/>
    </w:rPr>
  </w:style>
  <w:style w:type="character" w:customStyle="1" w:styleId="97">
    <w:name w:val="标题 4 字符"/>
    <w:basedOn w:val="90"/>
    <w:link w:val="6"/>
    <w:qFormat/>
    <w:uiPriority w:val="9"/>
    <w:rPr>
      <w:rFonts w:ascii="Times New Roman" w:hAnsi="Times New Roman" w:eastAsia="宋体" w:cstheme="majorBidi"/>
      <w:b/>
      <w:bCs/>
      <w:color w:val="00CC00"/>
      <w:sz w:val="24"/>
      <w:szCs w:val="28"/>
    </w:rPr>
  </w:style>
  <w:style w:type="character" w:customStyle="1" w:styleId="98">
    <w:name w:val="页眉 字符"/>
    <w:basedOn w:val="90"/>
    <w:link w:val="57"/>
    <w:qFormat/>
    <w:uiPriority w:val="99"/>
    <w:rPr>
      <w:rFonts w:ascii="Times New Roman" w:hAnsi="Times New Roman" w:eastAsia="宋体"/>
      <w:sz w:val="18"/>
      <w:szCs w:val="18"/>
    </w:rPr>
  </w:style>
  <w:style w:type="character" w:customStyle="1" w:styleId="99">
    <w:name w:val="页脚 字符"/>
    <w:basedOn w:val="90"/>
    <w:link w:val="55"/>
    <w:qFormat/>
    <w:uiPriority w:val="99"/>
    <w:rPr>
      <w:rFonts w:ascii="Times New Roman" w:hAnsi="Times New Roman" w:eastAsia="宋体"/>
      <w:sz w:val="18"/>
      <w:szCs w:val="18"/>
    </w:rPr>
  </w:style>
  <w:style w:type="character" w:customStyle="1" w:styleId="100">
    <w:name w:val="批注框文本 字符"/>
    <w:basedOn w:val="90"/>
    <w:link w:val="54"/>
    <w:semiHidden/>
    <w:qFormat/>
    <w:uiPriority w:val="99"/>
    <w:rPr>
      <w:rFonts w:ascii="Times New Roman" w:hAnsi="Times New Roman" w:eastAsia="宋体"/>
      <w:sz w:val="18"/>
      <w:szCs w:val="18"/>
    </w:rPr>
  </w:style>
  <w:style w:type="paragraph" w:styleId="101">
    <w:name w:val="List Paragraph"/>
    <w:basedOn w:val="1"/>
    <w:qFormat/>
    <w:uiPriority w:val="99"/>
    <w:pPr>
      <w:ind w:firstLine="420"/>
    </w:pPr>
  </w:style>
  <w:style w:type="paragraph" w:customStyle="1" w:styleId="102">
    <w:name w:val="TOC Heading"/>
    <w:basedOn w:val="3"/>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val="0"/>
      <w:bCs w:val="0"/>
      <w:color w:val="2F5496" w:themeColor="accent1" w:themeShade="BF"/>
      <w:kern w:val="0"/>
      <w:szCs w:val="32"/>
    </w:rPr>
  </w:style>
  <w:style w:type="paragraph" w:customStyle="1" w:styleId="103">
    <w:name w:val="（1）"/>
    <w:basedOn w:val="1"/>
    <w:link w:val="104"/>
    <w:autoRedefine/>
    <w:qFormat/>
    <w:uiPriority w:val="0"/>
    <w:pPr>
      <w:numPr>
        <w:ilvl w:val="0"/>
        <w:numId w:val="13"/>
      </w:numPr>
      <w:ind w:left="480" w:hanging="480" w:hangingChars="200"/>
      <w:contextualSpacing/>
    </w:pPr>
  </w:style>
  <w:style w:type="character" w:customStyle="1" w:styleId="104">
    <w:name w:val="（1） 字符"/>
    <w:basedOn w:val="90"/>
    <w:link w:val="103"/>
    <w:qFormat/>
    <w:uiPriority w:val="0"/>
    <w:rPr>
      <w:rFonts w:ascii="Times New Roman" w:hAnsi="Times New Roman" w:eastAsia="宋体"/>
      <w:sz w:val="24"/>
    </w:rPr>
  </w:style>
  <w:style w:type="character" w:customStyle="1" w:styleId="105">
    <w:name w:val="标题 6 字符"/>
    <w:basedOn w:val="90"/>
    <w:link w:val="9"/>
    <w:semiHidden/>
    <w:qFormat/>
    <w:uiPriority w:val="9"/>
    <w:rPr>
      <w:rFonts w:asciiTheme="majorHAnsi" w:hAnsiTheme="majorHAnsi" w:eastAsiaTheme="majorEastAsia" w:cstheme="majorBidi"/>
      <w:b/>
      <w:bCs/>
      <w:sz w:val="24"/>
      <w:szCs w:val="24"/>
    </w:rPr>
  </w:style>
  <w:style w:type="paragraph" w:customStyle="1" w:styleId="106">
    <w:name w:val="表头"/>
    <w:basedOn w:val="1"/>
    <w:qFormat/>
    <w:uiPriority w:val="0"/>
    <w:pPr>
      <w:spacing w:before="50" w:beforeLines="50" w:after="50" w:afterLines="50" w:line="240" w:lineRule="auto"/>
      <w:ind w:firstLine="0" w:firstLineChars="0"/>
      <w:jc w:val="center"/>
    </w:pPr>
    <w:rPr>
      <w:rFonts w:ascii="宋体" w:hAnsi="宋体" w:cs="宋体"/>
      <w:b/>
      <w:snapToGrid w:val="0"/>
      <w:kern w:val="0"/>
      <w:sz w:val="21"/>
      <w:szCs w:val="24"/>
    </w:rPr>
  </w:style>
  <w:style w:type="paragraph" w:customStyle="1" w:styleId="107">
    <w:name w:val="表格"/>
    <w:link w:val="108"/>
    <w:qFormat/>
    <w:uiPriority w:val="0"/>
    <w:pPr>
      <w:widowControl w:val="0"/>
      <w:adjustRightInd w:val="0"/>
      <w:spacing w:line="360" w:lineRule="auto"/>
      <w:jc w:val="center"/>
    </w:pPr>
    <w:rPr>
      <w:rFonts w:ascii="宋体" w:hAnsi="Times New Roman" w:eastAsia="宋体" w:cs="Times New Roman"/>
      <w:kern w:val="0"/>
      <w:sz w:val="21"/>
      <w:szCs w:val="20"/>
      <w:lang w:val="en-US" w:eastAsia="zh-CN" w:bidi="ar-SA"/>
    </w:rPr>
  </w:style>
  <w:style w:type="character" w:customStyle="1" w:styleId="108">
    <w:name w:val="表格 Char"/>
    <w:link w:val="107"/>
    <w:qFormat/>
    <w:locked/>
    <w:uiPriority w:val="0"/>
    <w:rPr>
      <w:rFonts w:ascii="宋体" w:hAnsi="Times New Roman" w:eastAsia="宋体" w:cs="Times New Roman"/>
      <w:kern w:val="0"/>
      <w:szCs w:val="20"/>
    </w:rPr>
  </w:style>
  <w:style w:type="paragraph" w:customStyle="1" w:styleId="109">
    <w:name w:val="正文2"/>
    <w:basedOn w:val="1"/>
    <w:link w:val="110"/>
    <w:qFormat/>
    <w:uiPriority w:val="0"/>
    <w:rPr>
      <w:rFonts w:ascii="宋体" w:hAnsi="宋体" w:cs="Times New Roman"/>
      <w:szCs w:val="24"/>
    </w:rPr>
  </w:style>
  <w:style w:type="character" w:customStyle="1" w:styleId="110">
    <w:name w:val="正文2 字符"/>
    <w:link w:val="109"/>
    <w:qFormat/>
    <w:uiPriority w:val="0"/>
    <w:rPr>
      <w:rFonts w:ascii="宋体" w:hAnsi="宋体" w:eastAsia="宋体" w:cs="Times New Roman"/>
      <w:sz w:val="24"/>
      <w:szCs w:val="24"/>
    </w:rPr>
  </w:style>
  <w:style w:type="character" w:customStyle="1" w:styleId="111">
    <w:name w:val="标准 正文 QJJ Char Char"/>
    <w:link w:val="112"/>
    <w:qFormat/>
    <w:uiPriority w:val="99"/>
    <w:rPr>
      <w:rFonts w:ascii="宋体" w:hAnsi="Arial"/>
      <w:spacing w:val="20"/>
      <w:sz w:val="24"/>
      <w:szCs w:val="24"/>
    </w:rPr>
  </w:style>
  <w:style w:type="paragraph" w:customStyle="1" w:styleId="112">
    <w:name w:val="标准 正文 QJJ"/>
    <w:basedOn w:val="1"/>
    <w:link w:val="111"/>
    <w:qFormat/>
    <w:uiPriority w:val="99"/>
    <w:pPr>
      <w:autoSpaceDE w:val="0"/>
      <w:autoSpaceDN w:val="0"/>
      <w:adjustRightInd w:val="0"/>
      <w:spacing w:line="520" w:lineRule="exact"/>
      <w:ind w:firstLine="480"/>
      <w:jc w:val="left"/>
    </w:pPr>
    <w:rPr>
      <w:rFonts w:ascii="宋体" w:hAnsi="Arial" w:eastAsiaTheme="minorEastAsia"/>
      <w:spacing w:val="20"/>
      <w:szCs w:val="24"/>
    </w:rPr>
  </w:style>
  <w:style w:type="paragraph" w:customStyle="1" w:styleId="113">
    <w:name w:val="图表"/>
    <w:basedOn w:val="1"/>
    <w:link w:val="114"/>
    <w:qFormat/>
    <w:uiPriority w:val="0"/>
    <w:pPr>
      <w:spacing w:line="240" w:lineRule="auto"/>
      <w:ind w:firstLine="0" w:firstLineChars="0"/>
      <w:jc w:val="center"/>
    </w:pPr>
  </w:style>
  <w:style w:type="character" w:customStyle="1" w:styleId="114">
    <w:name w:val="图表 字符"/>
    <w:basedOn w:val="90"/>
    <w:link w:val="113"/>
    <w:qFormat/>
    <w:uiPriority w:val="0"/>
    <w:rPr>
      <w:rFonts w:ascii="Times New Roman" w:hAnsi="Times New Roman" w:eastAsia="宋体"/>
      <w:sz w:val="24"/>
    </w:rPr>
  </w:style>
  <w:style w:type="table" w:customStyle="1" w:styleId="115">
    <w:name w:val="网格型1"/>
    <w:basedOn w:val="8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6">
    <w:name w:val="批注文字 字符"/>
    <w:basedOn w:val="90"/>
    <w:link w:val="28"/>
    <w:semiHidden/>
    <w:qFormat/>
    <w:uiPriority w:val="99"/>
    <w:rPr>
      <w:rFonts w:ascii="Times New Roman" w:hAnsi="Times New Roman" w:eastAsia="宋体"/>
      <w:sz w:val="24"/>
    </w:rPr>
  </w:style>
  <w:style w:type="character" w:customStyle="1" w:styleId="117">
    <w:name w:val="批注主题 字符"/>
    <w:basedOn w:val="116"/>
    <w:link w:val="85"/>
    <w:semiHidden/>
    <w:qFormat/>
    <w:uiPriority w:val="99"/>
    <w:rPr>
      <w:rFonts w:ascii="Times New Roman" w:hAnsi="Times New Roman" w:eastAsia="宋体"/>
      <w:b/>
      <w:bCs/>
      <w:sz w:val="24"/>
    </w:rPr>
  </w:style>
  <w:style w:type="character" w:customStyle="1" w:styleId="118">
    <w:name w:val="未处理的提及1"/>
    <w:basedOn w:val="90"/>
    <w:semiHidden/>
    <w:unhideWhenUsed/>
    <w:qFormat/>
    <w:uiPriority w:val="99"/>
    <w:rPr>
      <w:color w:val="605E5C"/>
      <w:shd w:val="clear" w:color="auto" w:fill="E1DFDD"/>
    </w:rPr>
  </w:style>
  <w:style w:type="character" w:customStyle="1" w:styleId="119">
    <w:name w:val="正文文本 字符"/>
    <w:basedOn w:val="90"/>
    <w:link w:val="34"/>
    <w:qFormat/>
    <w:uiPriority w:val="0"/>
    <w:rPr>
      <w:rFonts w:ascii="Times New Roman" w:hAnsi="Times New Roman" w:eastAsia="宋体" w:cs="Times New Roman"/>
      <w:spacing w:val="-4"/>
      <w:kern w:val="0"/>
      <w:sz w:val="24"/>
      <w:szCs w:val="20"/>
    </w:rPr>
  </w:style>
  <w:style w:type="character" w:customStyle="1" w:styleId="120">
    <w:name w:val="！正文 Char"/>
    <w:link w:val="121"/>
    <w:qFormat/>
    <w:locked/>
    <w:uiPriority w:val="0"/>
    <w:rPr>
      <w:rFonts w:ascii="Arial" w:hAnsi="Arial" w:cs="宋体"/>
      <w:sz w:val="24"/>
      <w:szCs w:val="24"/>
    </w:rPr>
  </w:style>
  <w:style w:type="paragraph" w:customStyle="1" w:styleId="121">
    <w:name w:val="！正文"/>
    <w:basedOn w:val="1"/>
    <w:link w:val="120"/>
    <w:qFormat/>
    <w:uiPriority w:val="0"/>
    <w:pPr>
      <w:ind w:firstLine="480"/>
    </w:pPr>
    <w:rPr>
      <w:rFonts w:ascii="Arial" w:hAnsi="Arial" w:cs="宋体" w:eastAsiaTheme="minorEastAsia"/>
      <w:szCs w:val="24"/>
    </w:rPr>
  </w:style>
  <w:style w:type="paragraph" w:customStyle="1" w:styleId="122">
    <w:name w:val="1、"/>
    <w:basedOn w:val="1"/>
    <w:link w:val="123"/>
    <w:qFormat/>
    <w:uiPriority w:val="0"/>
    <w:rPr>
      <w:sz w:val="28"/>
    </w:rPr>
  </w:style>
  <w:style w:type="character" w:customStyle="1" w:styleId="123">
    <w:name w:val="1、 字符"/>
    <w:basedOn w:val="90"/>
    <w:link w:val="122"/>
    <w:qFormat/>
    <w:uiPriority w:val="0"/>
    <w:rPr>
      <w:rFonts w:ascii="Times New Roman" w:hAnsi="Times New Roman" w:eastAsia="宋体"/>
      <w:sz w:val="28"/>
    </w:rPr>
  </w:style>
  <w:style w:type="paragraph" w:customStyle="1" w:styleId="124">
    <w:name w:val="表格，内容"/>
    <w:basedOn w:val="1"/>
    <w:qFormat/>
    <w:uiPriority w:val="0"/>
    <w:pPr>
      <w:spacing w:before="40" w:after="40" w:line="240" w:lineRule="exact"/>
      <w:ind w:firstLine="0" w:firstLineChars="0"/>
      <w:jc w:val="center"/>
    </w:pPr>
    <w:rPr>
      <w:rFonts w:ascii="宋体" w:cs="Times New Roman"/>
      <w:spacing w:val="6"/>
      <w:kern w:val="44"/>
      <w:sz w:val="21"/>
      <w:szCs w:val="24"/>
    </w:rPr>
  </w:style>
  <w:style w:type="table" w:customStyle="1" w:styleId="125">
    <w:name w:val="Table Normal"/>
    <w:semiHidden/>
    <w:unhideWhenUsed/>
    <w:qFormat/>
    <w:uiPriority w:val="2"/>
    <w:pPr>
      <w:widowControl w:val="0"/>
      <w:autoSpaceDE w:val="0"/>
      <w:autoSpaceDN w:val="0"/>
    </w:pPr>
    <w:rPr>
      <w:kern w:val="0"/>
      <w:sz w:val="22"/>
      <w:lang w:eastAsia="en-US"/>
    </w:rPr>
    <w:tblPr>
      <w:tblCellMar>
        <w:top w:w="0" w:type="dxa"/>
        <w:left w:w="0" w:type="dxa"/>
        <w:bottom w:w="0" w:type="dxa"/>
        <w:right w:w="0" w:type="dxa"/>
      </w:tblCellMar>
    </w:tblPr>
  </w:style>
  <w:style w:type="character" w:customStyle="1" w:styleId="126">
    <w:name w:val="纯文本 字符"/>
    <w:basedOn w:val="90"/>
    <w:link w:val="45"/>
    <w:qFormat/>
    <w:uiPriority w:val="0"/>
    <w:rPr>
      <w:rFonts w:ascii="宋体" w:hAnsi="Courier New" w:eastAsia="宋体" w:cs="Courier New"/>
      <w:szCs w:val="21"/>
    </w:rPr>
  </w:style>
  <w:style w:type="paragraph" w:customStyle="1" w:styleId="127">
    <w:name w:val="3eee"/>
    <w:basedOn w:val="1"/>
    <w:link w:val="128"/>
    <w:qFormat/>
    <w:uiPriority w:val="0"/>
    <w:pPr>
      <w:spacing w:line="440" w:lineRule="exact"/>
      <w:ind w:firstLine="480"/>
    </w:pPr>
    <w:rPr>
      <w:rFonts w:ascii="宋体" w:hAnsi="宋体" w:cs="宋体"/>
      <w:szCs w:val="24"/>
    </w:rPr>
  </w:style>
  <w:style w:type="character" w:customStyle="1" w:styleId="128">
    <w:name w:val="3eee Char"/>
    <w:basedOn w:val="90"/>
    <w:link w:val="127"/>
    <w:qFormat/>
    <w:uiPriority w:val="0"/>
    <w:rPr>
      <w:rFonts w:ascii="宋体" w:hAnsi="宋体" w:eastAsia="宋体" w:cs="宋体"/>
      <w:sz w:val="24"/>
      <w:szCs w:val="24"/>
    </w:rPr>
  </w:style>
  <w:style w:type="paragraph" w:customStyle="1" w:styleId="129">
    <w:name w:val="样式 标题 32eee + 宋体 小四 行距: 1.5 倍行距"/>
    <w:basedOn w:val="5"/>
    <w:qFormat/>
    <w:uiPriority w:val="0"/>
    <w:pPr>
      <w:spacing w:before="120" w:beforeLines="0" w:after="120" w:afterLines="0"/>
      <w:ind w:hanging="284"/>
    </w:pPr>
    <w:rPr>
      <w:rFonts w:ascii="宋体" w:hAnsi="宋体" w:cs="宋体"/>
      <w:b/>
      <w:color w:val="auto"/>
      <w:sz w:val="24"/>
      <w:szCs w:val="20"/>
    </w:rPr>
  </w:style>
  <w:style w:type="paragraph" w:customStyle="1" w:styleId="130">
    <w:name w:val="样式 首行缩进:  0.85 厘米"/>
    <w:basedOn w:val="1"/>
    <w:link w:val="131"/>
    <w:qFormat/>
    <w:uiPriority w:val="99"/>
    <w:pPr>
      <w:ind w:firstLine="482" w:firstLineChars="0"/>
    </w:pPr>
    <w:rPr>
      <w:rFonts w:cs="宋体"/>
      <w:szCs w:val="20"/>
    </w:rPr>
  </w:style>
  <w:style w:type="character" w:customStyle="1" w:styleId="131">
    <w:name w:val="样式 首行缩进:  0.85 厘米 Char"/>
    <w:basedOn w:val="90"/>
    <w:link w:val="130"/>
    <w:qFormat/>
    <w:uiPriority w:val="99"/>
    <w:rPr>
      <w:rFonts w:ascii="Times New Roman" w:hAnsi="Times New Roman" w:eastAsia="宋体" w:cs="宋体"/>
      <w:sz w:val="24"/>
      <w:szCs w:val="20"/>
    </w:rPr>
  </w:style>
  <w:style w:type="paragraph" w:customStyle="1" w:styleId="132">
    <w:name w:val="工可正文"/>
    <w:basedOn w:val="1"/>
    <w:link w:val="146"/>
    <w:qFormat/>
    <w:uiPriority w:val="0"/>
    <w:pPr>
      <w:autoSpaceDE w:val="0"/>
      <w:autoSpaceDN w:val="0"/>
      <w:ind w:firstLine="480"/>
      <w:jc w:val="left"/>
    </w:pPr>
    <w:rPr>
      <w:rFonts w:cs="Times New Roman"/>
      <w:kern w:val="0"/>
      <w:szCs w:val="24"/>
    </w:rPr>
  </w:style>
  <w:style w:type="paragraph" w:customStyle="1" w:styleId="133">
    <w:name w:val="表格文字"/>
    <w:basedOn w:val="1"/>
    <w:qFormat/>
    <w:uiPriority w:val="0"/>
    <w:pPr>
      <w:spacing w:line="240" w:lineRule="auto"/>
      <w:ind w:firstLine="0" w:firstLineChars="0"/>
      <w:jc w:val="center"/>
    </w:pPr>
    <w:rPr>
      <w:rFonts w:cs="宋体"/>
      <w:bCs/>
      <w:kern w:val="0"/>
      <w:sz w:val="21"/>
      <w:szCs w:val="21"/>
    </w:rPr>
  </w:style>
  <w:style w:type="paragraph" w:customStyle="1" w:styleId="134">
    <w:name w:val="表名"/>
    <w:basedOn w:val="1"/>
    <w:qFormat/>
    <w:uiPriority w:val="0"/>
    <w:pPr>
      <w:adjustRightInd w:val="0"/>
      <w:spacing w:beforeLines="50" w:after="100" w:afterAutospacing="1"/>
      <w:ind w:firstLine="0" w:firstLineChars="0"/>
      <w:jc w:val="center"/>
    </w:pPr>
    <w:rPr>
      <w:rFonts w:ascii="Calibri" w:hAnsi="Calibri" w:eastAsia="黑体" w:cs="Calibri"/>
      <w:b/>
      <w:color w:val="000000"/>
      <w:kern w:val="22"/>
      <w:szCs w:val="24"/>
    </w:rPr>
  </w:style>
  <w:style w:type="paragraph" w:customStyle="1" w:styleId="135">
    <w:name w:val="1）"/>
    <w:basedOn w:val="1"/>
    <w:link w:val="136"/>
    <w:qFormat/>
    <w:uiPriority w:val="0"/>
    <w:pPr>
      <w:numPr>
        <w:ilvl w:val="0"/>
        <w:numId w:val="14"/>
      </w:numPr>
      <w:ind w:firstLine="200"/>
    </w:pPr>
    <w:rPr>
      <w:rFonts w:cs="Times New Roman"/>
      <w:sz w:val="28"/>
    </w:rPr>
  </w:style>
  <w:style w:type="character" w:customStyle="1" w:styleId="136">
    <w:name w:val="1） 字符"/>
    <w:link w:val="135"/>
    <w:qFormat/>
    <w:uiPriority w:val="0"/>
    <w:rPr>
      <w:rFonts w:ascii="Times New Roman" w:hAnsi="Times New Roman" w:eastAsia="宋体" w:cs="Times New Roman"/>
      <w:sz w:val="28"/>
    </w:rPr>
  </w:style>
  <w:style w:type="paragraph" w:customStyle="1" w:styleId="137">
    <w:name w:val="图片名"/>
    <w:basedOn w:val="1"/>
    <w:link w:val="138"/>
    <w:qFormat/>
    <w:uiPriority w:val="0"/>
    <w:pPr>
      <w:spacing w:line="240" w:lineRule="auto"/>
      <w:ind w:firstLine="0" w:firstLineChars="0"/>
      <w:jc w:val="center"/>
    </w:pPr>
    <w:rPr>
      <w:rFonts w:cs="Times New Roman"/>
      <w:b/>
      <w:color w:val="3366FF"/>
      <w:bdr w:val="single" w:color="FF0000" w:sz="4" w:space="0"/>
    </w:rPr>
  </w:style>
  <w:style w:type="character" w:customStyle="1" w:styleId="138">
    <w:name w:val="图片名 字符"/>
    <w:link w:val="137"/>
    <w:qFormat/>
    <w:uiPriority w:val="0"/>
    <w:rPr>
      <w:rFonts w:ascii="Times New Roman" w:hAnsi="Times New Roman" w:eastAsia="宋体" w:cs="Times New Roman"/>
      <w:b/>
      <w:color w:val="3366FF"/>
      <w:sz w:val="24"/>
      <w:bdr w:val="single" w:color="FF0000" w:sz="4" w:space="0"/>
    </w:rPr>
  </w:style>
  <w:style w:type="character" w:customStyle="1" w:styleId="139">
    <w:name w:val="标题 5 字符"/>
    <w:basedOn w:val="90"/>
    <w:link w:val="7"/>
    <w:qFormat/>
    <w:uiPriority w:val="0"/>
    <w:rPr>
      <w:rFonts w:ascii="宋体" w:hAnsi="Times New Roman" w:eastAsia="宋体" w:cs="Times New Roman"/>
      <w:b/>
      <w:spacing w:val="10"/>
      <w:kern w:val="0"/>
      <w:sz w:val="28"/>
      <w:szCs w:val="20"/>
    </w:rPr>
  </w:style>
  <w:style w:type="character" w:customStyle="1" w:styleId="140">
    <w:name w:val="标题 7 字符"/>
    <w:basedOn w:val="90"/>
    <w:link w:val="10"/>
    <w:qFormat/>
    <w:uiPriority w:val="0"/>
    <w:rPr>
      <w:rFonts w:ascii="宋体" w:hAnsi="Times New Roman" w:eastAsia="宋体" w:cs="Times New Roman"/>
      <w:b/>
      <w:spacing w:val="10"/>
      <w:kern w:val="0"/>
      <w:sz w:val="24"/>
      <w:szCs w:val="20"/>
    </w:rPr>
  </w:style>
  <w:style w:type="character" w:customStyle="1" w:styleId="141">
    <w:name w:val="标题 8 字符"/>
    <w:basedOn w:val="90"/>
    <w:link w:val="11"/>
    <w:qFormat/>
    <w:uiPriority w:val="0"/>
    <w:rPr>
      <w:rFonts w:ascii="Arial" w:hAnsi="Arial" w:eastAsia="黑体" w:cs="Times New Roman"/>
      <w:spacing w:val="10"/>
      <w:kern w:val="0"/>
      <w:sz w:val="24"/>
      <w:szCs w:val="20"/>
    </w:rPr>
  </w:style>
  <w:style w:type="character" w:customStyle="1" w:styleId="142">
    <w:name w:val="标题 9 字符"/>
    <w:basedOn w:val="90"/>
    <w:link w:val="12"/>
    <w:qFormat/>
    <w:uiPriority w:val="0"/>
    <w:rPr>
      <w:rFonts w:ascii="Arial" w:hAnsi="Arial" w:eastAsia="宋体" w:cs="Times New Roman"/>
      <w:b/>
      <w:spacing w:val="10"/>
      <w:kern w:val="0"/>
      <w:sz w:val="28"/>
      <w:szCs w:val="20"/>
    </w:rPr>
  </w:style>
  <w:style w:type="paragraph" w:customStyle="1" w:styleId="143">
    <w:name w:val="TOC 标题1"/>
    <w:basedOn w:val="3"/>
    <w:next w:val="1"/>
    <w:unhideWhenUsed/>
    <w:qFormat/>
    <w:uiPriority w:val="39"/>
    <w:pPr>
      <w:widowControl/>
      <w:numPr>
        <w:numId w:val="2"/>
      </w:numPr>
      <w:spacing w:before="240" w:after="0" w:line="259" w:lineRule="auto"/>
      <w:jc w:val="left"/>
      <w:outlineLvl w:val="9"/>
    </w:pPr>
    <w:rPr>
      <w:rFonts w:asciiTheme="majorHAnsi" w:hAnsiTheme="majorHAnsi" w:eastAsiaTheme="majorEastAsia" w:cstheme="majorBidi"/>
      <w:b w:val="0"/>
      <w:bCs w:val="0"/>
      <w:color w:val="2F5496" w:themeColor="accent1" w:themeShade="BF"/>
      <w:kern w:val="0"/>
      <w:szCs w:val="32"/>
    </w:rPr>
  </w:style>
  <w:style w:type="paragraph" w:customStyle="1" w:styleId="144">
    <w:name w:val="样式 标题 3(F4) + 两端对齐 段前: 13 磅 段后: 13 磅"/>
    <w:basedOn w:val="5"/>
    <w:qFormat/>
    <w:uiPriority w:val="0"/>
    <w:pPr>
      <w:numPr>
        <w:numId w:val="2"/>
      </w:numPr>
      <w:tabs>
        <w:tab w:val="left" w:pos="0"/>
      </w:tabs>
      <w:spacing w:before="0" w:beforeLines="0" w:after="0" w:afterLines="0" w:line="240" w:lineRule="auto"/>
      <w:ind w:firstLine="200"/>
    </w:pPr>
    <w:rPr>
      <w:rFonts w:eastAsia="黑体" w:cs="宋体"/>
      <w:b/>
      <w:bCs w:val="0"/>
      <w:color w:val="auto"/>
      <w:sz w:val="21"/>
      <w:szCs w:val="21"/>
    </w:rPr>
  </w:style>
  <w:style w:type="paragraph" w:customStyle="1" w:styleId="145">
    <w:name w:val="广梧－节"/>
    <w:basedOn w:val="4"/>
    <w:qFormat/>
    <w:uiPriority w:val="0"/>
    <w:pPr>
      <w:numPr>
        <w:numId w:val="2"/>
      </w:numPr>
      <w:tabs>
        <w:tab w:val="left" w:pos="960"/>
      </w:tabs>
      <w:spacing w:before="260" w:after="260"/>
      <w:ind w:left="960" w:hanging="960"/>
    </w:pPr>
    <w:rPr>
      <w:rFonts w:eastAsia="黑体" w:cs="Times New Roman"/>
      <w:b w:val="0"/>
      <w:bCs w:val="0"/>
      <w:color w:val="auto"/>
      <w:sz w:val="24"/>
    </w:rPr>
  </w:style>
  <w:style w:type="character" w:customStyle="1" w:styleId="146">
    <w:name w:val="工可正文 Char"/>
    <w:link w:val="132"/>
    <w:qFormat/>
    <w:uiPriority w:val="0"/>
    <w:rPr>
      <w:rFonts w:ascii="Times New Roman" w:hAnsi="Times New Roman" w:eastAsia="宋体" w:cs="Times New Roman"/>
      <w:kern w:val="0"/>
      <w:sz w:val="24"/>
      <w:szCs w:val="24"/>
    </w:rPr>
  </w:style>
  <w:style w:type="paragraph" w:customStyle="1" w:styleId="147">
    <w:name w:val="样式 标题 2标题 1.1SeHead wsa2节H2Chapter TitleChapter节标题 1.1h..."/>
    <w:basedOn w:val="4"/>
    <w:qFormat/>
    <w:uiPriority w:val="0"/>
    <w:pPr>
      <w:numPr>
        <w:ilvl w:val="0"/>
        <w:numId w:val="0"/>
      </w:numPr>
      <w:spacing w:before="240" w:beforeLines="0" w:after="240" w:afterLines="0"/>
    </w:pPr>
    <w:rPr>
      <w:rFonts w:ascii="宋体" w:hAnsi="宋体" w:cs="宋体"/>
      <w:color w:val="auto"/>
      <w:sz w:val="28"/>
      <w:szCs w:val="20"/>
    </w:rPr>
  </w:style>
  <w:style w:type="character" w:customStyle="1" w:styleId="148">
    <w:name w:val="未处理的提及11"/>
    <w:basedOn w:val="90"/>
    <w:semiHidden/>
    <w:unhideWhenUsed/>
    <w:qFormat/>
    <w:uiPriority w:val="99"/>
    <w:rPr>
      <w:color w:val="605E5C"/>
      <w:shd w:val="clear" w:color="auto" w:fill="E1DFDD"/>
    </w:rPr>
  </w:style>
  <w:style w:type="character" w:customStyle="1" w:styleId="149">
    <w:name w:val="副标题 字符"/>
    <w:basedOn w:val="90"/>
    <w:link w:val="64"/>
    <w:qFormat/>
    <w:uiPriority w:val="11"/>
    <w:rPr>
      <w:rFonts w:ascii="等线 Light" w:hAnsi="等线 Light" w:eastAsia="宋体" w:cs="Times New Roman"/>
      <w:bCs/>
      <w:kern w:val="28"/>
      <w:szCs w:val="32"/>
    </w:rPr>
  </w:style>
  <w:style w:type="character" w:customStyle="1" w:styleId="150">
    <w:name w:val="HTML 地址 字符"/>
    <w:basedOn w:val="90"/>
    <w:link w:val="41"/>
    <w:semiHidden/>
    <w:qFormat/>
    <w:uiPriority w:val="99"/>
    <w:rPr>
      <w:rFonts w:ascii="Times New Roman" w:hAnsi="Times New Roman" w:eastAsia="宋体"/>
      <w:i/>
      <w:iCs/>
      <w:sz w:val="24"/>
    </w:rPr>
  </w:style>
  <w:style w:type="character" w:customStyle="1" w:styleId="151">
    <w:name w:val="HTML 预设格式 字符"/>
    <w:basedOn w:val="90"/>
    <w:link w:val="80"/>
    <w:semiHidden/>
    <w:qFormat/>
    <w:uiPriority w:val="99"/>
    <w:rPr>
      <w:rFonts w:ascii="Courier New" w:hAnsi="Courier New" w:eastAsia="宋体" w:cs="Courier New"/>
      <w:sz w:val="20"/>
      <w:szCs w:val="20"/>
    </w:rPr>
  </w:style>
  <w:style w:type="character" w:customStyle="1" w:styleId="152">
    <w:name w:val="标题 字符"/>
    <w:basedOn w:val="90"/>
    <w:link w:val="84"/>
    <w:qFormat/>
    <w:uiPriority w:val="10"/>
    <w:rPr>
      <w:rFonts w:asciiTheme="majorHAnsi" w:hAnsiTheme="majorHAnsi" w:eastAsiaTheme="majorEastAsia" w:cstheme="majorBidi"/>
      <w:b/>
      <w:bCs/>
      <w:sz w:val="32"/>
      <w:szCs w:val="32"/>
    </w:rPr>
  </w:style>
  <w:style w:type="character" w:customStyle="1" w:styleId="153">
    <w:name w:val="称呼 字符"/>
    <w:basedOn w:val="90"/>
    <w:link w:val="30"/>
    <w:semiHidden/>
    <w:qFormat/>
    <w:uiPriority w:val="99"/>
    <w:rPr>
      <w:rFonts w:ascii="Times New Roman" w:hAnsi="Times New Roman" w:eastAsia="宋体"/>
      <w:sz w:val="24"/>
    </w:rPr>
  </w:style>
  <w:style w:type="character" w:customStyle="1" w:styleId="154">
    <w:name w:val="电子邮件签名 字符"/>
    <w:basedOn w:val="90"/>
    <w:link w:val="20"/>
    <w:semiHidden/>
    <w:qFormat/>
    <w:uiPriority w:val="99"/>
    <w:rPr>
      <w:rFonts w:ascii="Times New Roman" w:hAnsi="Times New Roman" w:eastAsia="宋体"/>
      <w:sz w:val="24"/>
    </w:rPr>
  </w:style>
  <w:style w:type="character" w:customStyle="1" w:styleId="155">
    <w:name w:val="宏文本 字符"/>
    <w:basedOn w:val="90"/>
    <w:link w:val="2"/>
    <w:semiHidden/>
    <w:qFormat/>
    <w:uiPriority w:val="99"/>
    <w:rPr>
      <w:rFonts w:ascii="Courier New" w:hAnsi="Courier New" w:eastAsia="宋体" w:cs="Courier New"/>
      <w:sz w:val="24"/>
      <w:szCs w:val="24"/>
    </w:rPr>
  </w:style>
  <w:style w:type="character" w:customStyle="1" w:styleId="156">
    <w:name w:val="脚注文本 字符"/>
    <w:basedOn w:val="90"/>
    <w:link w:val="67"/>
    <w:semiHidden/>
    <w:qFormat/>
    <w:uiPriority w:val="99"/>
    <w:rPr>
      <w:rFonts w:ascii="Times New Roman" w:hAnsi="Times New Roman" w:eastAsia="宋体"/>
      <w:sz w:val="18"/>
      <w:szCs w:val="18"/>
    </w:rPr>
  </w:style>
  <w:style w:type="character" w:customStyle="1" w:styleId="157">
    <w:name w:val="结束语 字符"/>
    <w:basedOn w:val="90"/>
    <w:link w:val="32"/>
    <w:semiHidden/>
    <w:qFormat/>
    <w:uiPriority w:val="99"/>
    <w:rPr>
      <w:rFonts w:ascii="Times New Roman" w:hAnsi="Times New Roman" w:eastAsia="宋体"/>
      <w:sz w:val="24"/>
    </w:rPr>
  </w:style>
  <w:style w:type="paragraph" w:styleId="158">
    <w:name w:val="Intense Quote"/>
    <w:basedOn w:val="1"/>
    <w:next w:val="1"/>
    <w:link w:val="159"/>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customStyle="1" w:styleId="159">
    <w:name w:val="明显引用 字符"/>
    <w:basedOn w:val="90"/>
    <w:link w:val="158"/>
    <w:qFormat/>
    <w:uiPriority w:val="30"/>
    <w:rPr>
      <w:rFonts w:ascii="Times New Roman" w:hAnsi="Times New Roman" w:eastAsia="宋体"/>
      <w:i/>
      <w:iCs/>
      <w:color w:val="4472C4" w:themeColor="accent1"/>
      <w:sz w:val="24"/>
    </w:rPr>
  </w:style>
  <w:style w:type="character" w:customStyle="1" w:styleId="160">
    <w:name w:val="签名 字符"/>
    <w:basedOn w:val="90"/>
    <w:link w:val="58"/>
    <w:semiHidden/>
    <w:qFormat/>
    <w:uiPriority w:val="99"/>
    <w:rPr>
      <w:rFonts w:ascii="Times New Roman" w:hAnsi="Times New Roman" w:eastAsia="宋体"/>
      <w:sz w:val="24"/>
    </w:rPr>
  </w:style>
  <w:style w:type="character" w:customStyle="1" w:styleId="161">
    <w:name w:val="日期 字符"/>
    <w:basedOn w:val="90"/>
    <w:link w:val="50"/>
    <w:semiHidden/>
    <w:qFormat/>
    <w:uiPriority w:val="99"/>
    <w:rPr>
      <w:rFonts w:ascii="Times New Roman" w:hAnsi="Times New Roman" w:eastAsia="宋体"/>
      <w:sz w:val="24"/>
    </w:rPr>
  </w:style>
  <w:style w:type="paragraph" w:customStyle="1" w:styleId="162">
    <w:name w:val="Bibliography"/>
    <w:basedOn w:val="1"/>
    <w:next w:val="1"/>
    <w:semiHidden/>
    <w:unhideWhenUsed/>
    <w:qFormat/>
    <w:uiPriority w:val="37"/>
  </w:style>
  <w:style w:type="character" w:customStyle="1" w:styleId="163">
    <w:name w:val="尾注文本 字符"/>
    <w:basedOn w:val="90"/>
    <w:link w:val="52"/>
    <w:semiHidden/>
    <w:qFormat/>
    <w:uiPriority w:val="99"/>
    <w:rPr>
      <w:rFonts w:ascii="Times New Roman" w:hAnsi="Times New Roman" w:eastAsia="宋体"/>
      <w:sz w:val="24"/>
    </w:rPr>
  </w:style>
  <w:style w:type="character" w:customStyle="1" w:styleId="164">
    <w:name w:val="文档结构图 字符"/>
    <w:basedOn w:val="90"/>
    <w:link w:val="26"/>
    <w:semiHidden/>
    <w:qFormat/>
    <w:uiPriority w:val="99"/>
    <w:rPr>
      <w:rFonts w:ascii="Microsoft YaHei UI" w:hAnsi="Times New Roman" w:eastAsia="Microsoft YaHei UI"/>
      <w:sz w:val="18"/>
      <w:szCs w:val="18"/>
    </w:rPr>
  </w:style>
  <w:style w:type="paragraph" w:styleId="165">
    <w:name w:val="No Spacing"/>
    <w:qFormat/>
    <w:uiPriority w:val="1"/>
    <w:pPr>
      <w:widowControl w:val="0"/>
      <w:ind w:firstLine="200" w:firstLineChars="200"/>
      <w:jc w:val="both"/>
    </w:pPr>
    <w:rPr>
      <w:rFonts w:ascii="Times New Roman" w:hAnsi="Times New Roman" w:eastAsia="宋体" w:cstheme="minorBidi"/>
      <w:kern w:val="2"/>
      <w:sz w:val="24"/>
      <w:szCs w:val="22"/>
      <w:lang w:val="en-US" w:eastAsia="zh-CN" w:bidi="ar-SA"/>
    </w:rPr>
  </w:style>
  <w:style w:type="character" w:customStyle="1" w:styleId="166">
    <w:name w:val="信息标题 字符"/>
    <w:basedOn w:val="90"/>
    <w:link w:val="79"/>
    <w:semiHidden/>
    <w:qFormat/>
    <w:uiPriority w:val="99"/>
    <w:rPr>
      <w:rFonts w:asciiTheme="majorHAnsi" w:hAnsiTheme="majorHAnsi" w:eastAsiaTheme="majorEastAsia" w:cstheme="majorBidi"/>
      <w:sz w:val="24"/>
      <w:szCs w:val="24"/>
      <w:shd w:val="pct20" w:color="auto" w:fill="auto"/>
    </w:rPr>
  </w:style>
  <w:style w:type="paragraph" w:styleId="167">
    <w:name w:val="Quote"/>
    <w:basedOn w:val="1"/>
    <w:next w:val="1"/>
    <w:link w:val="168"/>
    <w:qFormat/>
    <w:uiPriority w:val="29"/>
    <w:pPr>
      <w:spacing w:before="200" w:after="160"/>
      <w:ind w:left="864" w:right="864"/>
      <w:jc w:val="center"/>
    </w:pPr>
    <w:rPr>
      <w:i/>
      <w:iCs/>
      <w:color w:val="3F3F3F" w:themeColor="text1" w:themeTint="BF"/>
    </w:rPr>
  </w:style>
  <w:style w:type="character" w:customStyle="1" w:styleId="168">
    <w:name w:val="引用 字符"/>
    <w:basedOn w:val="90"/>
    <w:link w:val="167"/>
    <w:qFormat/>
    <w:uiPriority w:val="29"/>
    <w:rPr>
      <w:rFonts w:ascii="Times New Roman" w:hAnsi="Times New Roman" w:eastAsia="宋体"/>
      <w:i/>
      <w:iCs/>
      <w:color w:val="3F3F3F" w:themeColor="text1" w:themeTint="BF"/>
      <w:sz w:val="24"/>
    </w:rPr>
  </w:style>
  <w:style w:type="character" w:customStyle="1" w:styleId="169">
    <w:name w:val="正文文本 2 字符"/>
    <w:basedOn w:val="90"/>
    <w:link w:val="76"/>
    <w:semiHidden/>
    <w:qFormat/>
    <w:uiPriority w:val="99"/>
    <w:rPr>
      <w:rFonts w:ascii="Times New Roman" w:hAnsi="Times New Roman" w:eastAsia="宋体"/>
      <w:sz w:val="24"/>
    </w:rPr>
  </w:style>
  <w:style w:type="character" w:customStyle="1" w:styleId="170">
    <w:name w:val="正文文本 3 字符"/>
    <w:basedOn w:val="90"/>
    <w:link w:val="31"/>
    <w:semiHidden/>
    <w:qFormat/>
    <w:uiPriority w:val="99"/>
    <w:rPr>
      <w:rFonts w:ascii="Times New Roman" w:hAnsi="Times New Roman" w:eastAsia="宋体"/>
      <w:sz w:val="16"/>
      <w:szCs w:val="16"/>
    </w:rPr>
  </w:style>
  <w:style w:type="character" w:customStyle="1" w:styleId="171">
    <w:name w:val="正文文本首行缩进 字符"/>
    <w:basedOn w:val="119"/>
    <w:link w:val="86"/>
    <w:semiHidden/>
    <w:qFormat/>
    <w:uiPriority w:val="99"/>
    <w:rPr>
      <w:rFonts w:ascii="Times New Roman" w:hAnsi="Times New Roman" w:eastAsia="宋体" w:cs="Times New Roman"/>
      <w:spacing w:val="-4"/>
      <w:kern w:val="0"/>
      <w:sz w:val="24"/>
      <w:szCs w:val="20"/>
    </w:rPr>
  </w:style>
  <w:style w:type="character" w:customStyle="1" w:styleId="172">
    <w:name w:val="正文文本缩进 字符"/>
    <w:basedOn w:val="90"/>
    <w:link w:val="35"/>
    <w:semiHidden/>
    <w:qFormat/>
    <w:uiPriority w:val="99"/>
    <w:rPr>
      <w:rFonts w:ascii="Times New Roman" w:hAnsi="Times New Roman" w:eastAsia="宋体"/>
      <w:sz w:val="24"/>
    </w:rPr>
  </w:style>
  <w:style w:type="character" w:customStyle="1" w:styleId="173">
    <w:name w:val="正文文本首行缩进 2 字符"/>
    <w:basedOn w:val="172"/>
    <w:link w:val="87"/>
    <w:semiHidden/>
    <w:qFormat/>
    <w:uiPriority w:val="99"/>
    <w:rPr>
      <w:rFonts w:ascii="Times New Roman" w:hAnsi="Times New Roman" w:eastAsia="宋体"/>
      <w:sz w:val="24"/>
    </w:rPr>
  </w:style>
  <w:style w:type="character" w:customStyle="1" w:styleId="174">
    <w:name w:val="正文文本缩进 2 字符"/>
    <w:basedOn w:val="90"/>
    <w:link w:val="51"/>
    <w:semiHidden/>
    <w:qFormat/>
    <w:uiPriority w:val="99"/>
    <w:rPr>
      <w:rFonts w:ascii="Times New Roman" w:hAnsi="Times New Roman" w:eastAsia="宋体"/>
      <w:sz w:val="24"/>
    </w:rPr>
  </w:style>
  <w:style w:type="character" w:customStyle="1" w:styleId="175">
    <w:name w:val="正文文本缩进 3 字符"/>
    <w:basedOn w:val="90"/>
    <w:link w:val="70"/>
    <w:semiHidden/>
    <w:qFormat/>
    <w:uiPriority w:val="99"/>
    <w:rPr>
      <w:rFonts w:ascii="Times New Roman" w:hAnsi="Times New Roman" w:eastAsia="宋体"/>
      <w:sz w:val="16"/>
      <w:szCs w:val="16"/>
    </w:rPr>
  </w:style>
  <w:style w:type="character" w:customStyle="1" w:styleId="176">
    <w:name w:val="注释标题 字符"/>
    <w:basedOn w:val="90"/>
    <w:link w:val="17"/>
    <w:semiHidden/>
    <w:qFormat/>
    <w:uiPriority w:val="99"/>
    <w:rPr>
      <w:rFonts w:ascii="Times New Roman" w:hAnsi="Times New Roman" w:eastAsia="宋体"/>
      <w:sz w:val="24"/>
    </w:rPr>
  </w:style>
  <w:style w:type="character" w:customStyle="1" w:styleId="177">
    <w:name w:val="（1） 字符1"/>
    <w:qFormat/>
    <w:uiPriority w:val="0"/>
    <w:rPr>
      <w:rFonts w:ascii="Times New Roman" w:hAnsi="Times New Roman" w:eastAsia="宋体" w:cs="Times New Roman"/>
      <w:sz w:val="28"/>
    </w:rPr>
  </w:style>
  <w:style w:type="character" w:customStyle="1" w:styleId="178">
    <w:name w:val="说明正文 Char"/>
    <w:link w:val="179"/>
    <w:qFormat/>
    <w:uiPriority w:val="0"/>
    <w:rPr>
      <w:rFonts w:ascii="宋体" w:hAnsi="宋体"/>
      <w:sz w:val="24"/>
      <w:szCs w:val="28"/>
    </w:rPr>
  </w:style>
  <w:style w:type="paragraph" w:customStyle="1" w:styleId="179">
    <w:name w:val="说明正文"/>
    <w:basedOn w:val="57"/>
    <w:next w:val="1"/>
    <w:link w:val="178"/>
    <w:qFormat/>
    <w:uiPriority w:val="0"/>
    <w:pPr>
      <w:pBdr>
        <w:bottom w:val="none" w:color="auto" w:sz="0" w:space="0"/>
      </w:pBdr>
      <w:tabs>
        <w:tab w:val="clear" w:pos="4153"/>
        <w:tab w:val="clear" w:pos="8306"/>
      </w:tabs>
      <w:snapToGrid/>
      <w:spacing w:line="360" w:lineRule="auto"/>
      <w:ind w:firstLine="480" w:firstLineChars="0"/>
      <w:jc w:val="both"/>
    </w:pPr>
    <w:rPr>
      <w:rFonts w:ascii="宋体" w:hAnsi="宋体" w:eastAsiaTheme="minorEastAsia"/>
      <w:sz w:val="24"/>
      <w:szCs w:val="28"/>
    </w:rPr>
  </w:style>
  <w:style w:type="character" w:customStyle="1" w:styleId="180">
    <w:name w:val="纯文本 Char"/>
    <w:qFormat/>
    <w:uiPriority w:val="0"/>
    <w:rPr>
      <w:rFonts w:ascii="宋体" w:hAnsi="Courier New"/>
      <w:kern w:val="2"/>
      <w:sz w:val="24"/>
    </w:rPr>
  </w:style>
  <w:style w:type="character" w:customStyle="1" w:styleId="181">
    <w:name w:val="表格标题栏 Char"/>
    <w:link w:val="182"/>
    <w:qFormat/>
    <w:uiPriority w:val="0"/>
    <w:rPr>
      <w:rFonts w:ascii="微软雅黑" w:hAnsi="微软雅黑"/>
      <w:sz w:val="24"/>
      <w:szCs w:val="24"/>
    </w:rPr>
  </w:style>
  <w:style w:type="paragraph" w:customStyle="1" w:styleId="182">
    <w:name w:val="表格标题栏"/>
    <w:basedOn w:val="1"/>
    <w:link w:val="181"/>
    <w:qFormat/>
    <w:uiPriority w:val="0"/>
    <w:pPr>
      <w:autoSpaceDE w:val="0"/>
      <w:autoSpaceDN w:val="0"/>
      <w:adjustRightInd w:val="0"/>
      <w:spacing w:line="241" w:lineRule="atLeast"/>
      <w:ind w:firstLine="0" w:firstLineChars="0"/>
      <w:jc w:val="center"/>
    </w:pPr>
    <w:rPr>
      <w:rFonts w:ascii="微软雅黑" w:hAnsi="微软雅黑" w:eastAsiaTheme="minorEastAsia"/>
      <w:szCs w:val="24"/>
    </w:rPr>
  </w:style>
  <w:style w:type="paragraph" w:customStyle="1" w:styleId="18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184">
    <w:name w:val="正文1"/>
    <w:basedOn w:val="1"/>
    <w:link w:val="186"/>
    <w:qFormat/>
    <w:uiPriority w:val="0"/>
    <w:pPr>
      <w:autoSpaceDE w:val="0"/>
      <w:autoSpaceDN w:val="0"/>
      <w:spacing w:line="360" w:lineRule="exact"/>
      <w:ind w:left="-902" w:firstLine="510" w:firstLineChars="0"/>
      <w:jc w:val="left"/>
      <w:textAlignment w:val="baseline"/>
    </w:pPr>
    <w:rPr>
      <w:rFonts w:cs="Times New Roman"/>
      <w:kern w:val="0"/>
      <w:szCs w:val="20"/>
      <w:lang w:val="zh-CN" w:eastAsia="zh-CN"/>
    </w:rPr>
  </w:style>
  <w:style w:type="character" w:customStyle="1" w:styleId="185">
    <w:name w:val="页眉 Char"/>
    <w:qFormat/>
    <w:uiPriority w:val="0"/>
    <w:rPr>
      <w:spacing w:val="4"/>
      <w:sz w:val="18"/>
      <w:szCs w:val="18"/>
    </w:rPr>
  </w:style>
  <w:style w:type="character" w:customStyle="1" w:styleId="186">
    <w:name w:val="正文1 Char"/>
    <w:link w:val="184"/>
    <w:qFormat/>
    <w:uiPriority w:val="0"/>
    <w:rPr>
      <w:rFonts w:ascii="Times New Roman" w:hAnsi="Times New Roman" w:eastAsia="宋体" w:cs="Times New Roman"/>
      <w:kern w:val="0"/>
      <w:sz w:val="24"/>
      <w:szCs w:val="20"/>
      <w:lang w:val="zh-CN" w:eastAsia="zh-CN"/>
    </w:rPr>
  </w:style>
  <w:style w:type="paragraph" w:customStyle="1" w:styleId="187">
    <w:name w:val="表格标题"/>
    <w:basedOn w:val="1"/>
    <w:qFormat/>
    <w:uiPriority w:val="0"/>
    <w:pPr>
      <w:spacing w:beforeLines="50" w:line="460" w:lineRule="exact"/>
      <w:ind w:firstLine="0" w:firstLineChars="0"/>
      <w:jc w:val="center"/>
    </w:pPr>
    <w:rPr>
      <w:rFonts w:ascii="黑体" w:hAnsi="Batang" w:eastAsia="黑体" w:cs="Times New Roman"/>
      <w:szCs w:val="20"/>
    </w:rPr>
  </w:style>
  <w:style w:type="paragraph" w:customStyle="1" w:styleId="188">
    <w:name w:val="正文3"/>
    <w:qFormat/>
    <w:uiPriority w:val="0"/>
    <w:pPr>
      <w:widowControl w:val="0"/>
      <w:adjustRightInd w:val="0"/>
      <w:spacing w:line="360" w:lineRule="auto"/>
      <w:jc w:val="both"/>
      <w:textAlignment w:val="baseline"/>
    </w:pPr>
    <w:rPr>
      <w:rFonts w:ascii="宋体" w:hAnsi="Times New Roman" w:eastAsia="宋体" w:cs="Times New Roman"/>
      <w:kern w:val="0"/>
      <w:sz w:val="24"/>
      <w:szCs w:val="20"/>
      <w:lang w:val="en-US" w:eastAsia="zh-CN" w:bidi="ar-SA"/>
    </w:rPr>
  </w:style>
  <w:style w:type="paragraph" w:customStyle="1" w:styleId="189">
    <w:name w:val="样式 图案: 清除 (白色) 行距: 1.5 倍行距 首行缩进:  2 字符"/>
    <w:basedOn w:val="1"/>
    <w:qFormat/>
    <w:uiPriority w:val="0"/>
    <w:pPr>
      <w:spacing w:line="500" w:lineRule="exact"/>
      <w:ind w:firstLine="200" w:firstLineChars="200"/>
    </w:pPr>
    <w:rPr>
      <w:rFonts w:cs="宋体"/>
      <w:szCs w:val="20"/>
      <w:shd w:val="clear" w:color="auto" w:fill="FFFFFF"/>
    </w:rPr>
  </w:style>
  <w:style w:type="paragraph" w:customStyle="1" w:styleId="190">
    <w:name w:val="Char Char Char Char Char Char2 Char"/>
    <w:basedOn w:val="1"/>
    <w:qFormat/>
    <w:uiPriority w:val="0"/>
    <w:pPr>
      <w:widowControl/>
      <w:spacing w:line="360" w:lineRule="auto"/>
      <w:ind w:firstLine="200" w:firstLineChars="200"/>
      <w:jc w:val="left"/>
    </w:pPr>
    <w:rPr>
      <w:rFonts w:ascii="宋体" w:hAnsi="宋体" w:eastAsia="宋体" w:cs="宋体"/>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7.png"/><Relationship Id="rId24" Type="http://schemas.openxmlformats.org/officeDocument/2006/relationships/image" Target="media/image6.png"/><Relationship Id="rId23" Type="http://schemas.openxmlformats.org/officeDocument/2006/relationships/image" Target="media/image5.wmf"/><Relationship Id="rId22" Type="http://schemas.openxmlformats.org/officeDocument/2006/relationships/oleObject" Target="embeddings/oleObject1.bin"/><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7951</Words>
  <Characters>9632</Characters>
  <Lines>101</Lines>
  <Paragraphs>28</Paragraphs>
  <TotalTime>0</TotalTime>
  <ScaleCrop>false</ScaleCrop>
  <LinksUpToDate>false</LinksUpToDate>
  <CharactersWithSpaces>9796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2021-06-09T12:15:00Z</dcterms:created>
  <dc:creator>PC</dc:creator>
  <cp:lastModifiedBy>WPS_1615093619</cp:lastModifiedBy>
  <cp:lastPrinted>2025-04-07T10:30:00Z</cp:lastPrinted>
  <dcterms:modified xsi:type="dcterms:W3CDTF">2025-04-09T06:17:25Z</dcterms:modified>
  <cp:revision>184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DAE1A02C61014172B44F4F390C6601ED_12</vt:lpwstr>
  </property>
  <property fmtid="{D5CDD505-2E9C-101B-9397-08002B2CF9AE}" pid="4" name="KSOTemplateDocerSaveRecord">
    <vt:lpwstr>eyJoZGlkIjoiNmNjMWIzZTY1ZDM3ZjhiNzQzMGI1M2Y4Yzk4NWRlOTUiLCJ1c2VySWQiOiIxMTY5MDkyNTI1In0=</vt:lpwstr>
  </property>
</Properties>
</file>